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p>
    <w:p>
      <w:pPr>
        <w:spacing w:line="700" w:lineRule="exact"/>
        <w:jc w:val="center"/>
        <w:rPr>
          <w:rFonts w:ascii="仿宋" w:hAnsi="仿宋" w:eastAsia="仿宋"/>
          <w:sz w:val="32"/>
          <w:szCs w:val="32"/>
        </w:rPr>
      </w:pPr>
      <w:r>
        <w:rPr>
          <w:rFonts w:hint="eastAsia" w:ascii="方正小标宋简体" w:hAnsi="方正小标宋简体" w:eastAsia="方正小标宋简体" w:cs="方正小标宋简体"/>
          <w:sz w:val="44"/>
          <w:szCs w:val="44"/>
        </w:rPr>
        <w:t>陆丰市教育发展 “十四五”规划</w:t>
      </w:r>
    </w:p>
    <w:p>
      <w:pPr>
        <w:jc w:val="center"/>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val="en-US" w:eastAsia="zh-CN"/>
        </w:rPr>
        <w:t>征求意见</w:t>
      </w:r>
      <w:r>
        <w:rPr>
          <w:rFonts w:hint="eastAsia" w:ascii="楷体_GB2312" w:hAnsi="仿宋" w:eastAsia="楷体_GB2312"/>
          <w:sz w:val="32"/>
          <w:szCs w:val="32"/>
        </w:rPr>
        <w:t>稿）</w:t>
      </w:r>
    </w:p>
    <w:p>
      <w:pPr>
        <w:pStyle w:val="2"/>
        <w:ind w:left="0" w:leftChars="0"/>
        <w:jc w:val="center"/>
        <w:rPr>
          <w:rFonts w:ascii="方正小标宋简体" w:eastAsia="方正小标宋简体"/>
          <w:sz w:val="36"/>
          <w:szCs w:val="36"/>
        </w:rPr>
      </w:pPr>
      <w:bookmarkStart w:id="122" w:name="_GoBack"/>
      <w:bookmarkEnd w:id="122"/>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p>
    <w:p>
      <w:pPr>
        <w:pStyle w:val="2"/>
        <w:ind w:left="0" w:leftChars="0"/>
        <w:jc w:val="center"/>
        <w:rPr>
          <w:rFonts w:ascii="方正小标宋简体" w:eastAsia="方正小标宋简体"/>
          <w:sz w:val="36"/>
          <w:szCs w:val="36"/>
        </w:rPr>
      </w:pPr>
      <w:r>
        <w:rPr>
          <w:rFonts w:ascii="方正小标宋简体" w:eastAsia="方正小标宋简体"/>
          <w:sz w:val="36"/>
          <w:szCs w:val="36"/>
        </w:rPr>
        <w:t>2021</w:t>
      </w:r>
      <w:r>
        <w:rPr>
          <w:rFonts w:hint="eastAsia" w:ascii="方正小标宋简体" w:eastAsia="方正小标宋简体"/>
          <w:sz w:val="36"/>
          <w:szCs w:val="36"/>
        </w:rPr>
        <w:t>年</w:t>
      </w:r>
      <w:r>
        <w:rPr>
          <w:rFonts w:ascii="方正小标宋简体" w:eastAsia="方正小标宋简体"/>
          <w:sz w:val="36"/>
          <w:szCs w:val="36"/>
        </w:rPr>
        <w:t>1</w:t>
      </w:r>
      <w:r>
        <w:rPr>
          <w:rFonts w:hint="eastAsia" w:ascii="方正小标宋简体" w:eastAsia="方正小标宋简体"/>
          <w:sz w:val="36"/>
          <w:szCs w:val="36"/>
        </w:rPr>
        <w:t>2月</w:t>
      </w:r>
    </w:p>
    <w:p>
      <w:pPr>
        <w:widowControl/>
        <w:jc w:val="left"/>
      </w:pPr>
      <w:r>
        <w:br w:type="page"/>
      </w:r>
    </w:p>
    <w:p>
      <w:pPr>
        <w:widowControl/>
        <w:jc w:val="left"/>
        <w:sectPr>
          <w:footerReference r:id="rId3" w:type="default"/>
          <w:pgSz w:w="11906" w:h="16838"/>
          <w:pgMar w:top="1440" w:right="1463" w:bottom="1440" w:left="1519" w:header="851" w:footer="992" w:gutter="0"/>
          <w:pgNumType w:fmt="lowerRoman" w:start="1"/>
          <w:cols w:space="720" w:num="1"/>
          <w:docGrid w:type="lines" w:linePitch="312" w:charSpace="0"/>
        </w:sectPr>
      </w:pPr>
      <w:r>
        <w:br w:type="page"/>
      </w:r>
    </w:p>
    <w:p>
      <w:pPr>
        <w:widowControl/>
        <w:jc w:val="left"/>
        <w:rPr>
          <w:kern w:val="0"/>
          <w:sz w:val="20"/>
        </w:rPr>
      </w:pPr>
    </w:p>
    <w:sdt>
      <w:sdtPr>
        <w:rPr>
          <w:rFonts w:ascii="Times New Roman" w:hAnsi="Times New Roman" w:eastAsia="宋体" w:cs="Times New Roman"/>
          <w:color w:val="auto"/>
          <w:kern w:val="2"/>
          <w:sz w:val="21"/>
          <w:szCs w:val="20"/>
          <w:lang w:val="zh-CN"/>
        </w:rPr>
        <w:id w:val="415910547"/>
        <w:docPartObj>
          <w:docPartGallery w:val="Table of Contents"/>
          <w:docPartUnique/>
        </w:docPartObj>
      </w:sdtPr>
      <w:sdtEndPr>
        <w:rPr>
          <w:rFonts w:hint="eastAsia" w:ascii="仿宋_GB2312" w:hAnsi="Times New Roman" w:eastAsia="仿宋_GB2312" w:cs="Times New Roman"/>
          <w:b/>
          <w:bCs/>
          <w:color w:val="auto"/>
          <w:kern w:val="2"/>
          <w:sz w:val="32"/>
          <w:szCs w:val="32"/>
          <w:lang w:val="zh-CN"/>
        </w:rPr>
      </w:sdtEndPr>
      <w:sdtContent>
        <w:p>
          <w:pPr>
            <w:pStyle w:val="45"/>
            <w:jc w:val="center"/>
            <w:rPr>
              <w:rFonts w:ascii="方正小标宋简体" w:eastAsia="方正小标宋简体"/>
              <w:color w:val="auto"/>
              <w:sz w:val="44"/>
              <w:szCs w:val="44"/>
            </w:rPr>
          </w:pPr>
          <w:r>
            <w:rPr>
              <w:rFonts w:hint="eastAsia" w:ascii="方正小标宋简体" w:eastAsia="方正小标宋简体"/>
              <w:color w:val="auto"/>
              <w:sz w:val="44"/>
              <w:szCs w:val="44"/>
              <w:lang w:val="zh-CN"/>
            </w:rPr>
            <w:t>目 录</w:t>
          </w:r>
        </w:p>
        <w:p>
          <w:pPr>
            <w:pStyle w:val="14"/>
            <w:tabs>
              <w:tab w:val="right" w:leader="dot" w:pos="8914"/>
            </w:tabs>
            <w:rPr>
              <w:rFonts w:ascii="仿宋_GB2312" w:eastAsia="仿宋_GB2312" w:cstheme="minorBidi"/>
              <w:b w:val="0"/>
              <w:bCs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fldChar w:fldCharType="begin"/>
          </w:r>
          <w:r>
            <w:instrText xml:space="preserve"> HYPERLINK \l "_Toc90281379" </w:instrText>
          </w:r>
          <w:r>
            <w:fldChar w:fldCharType="separate"/>
          </w:r>
          <w:r>
            <w:rPr>
              <w:rStyle w:val="23"/>
              <w:rFonts w:hint="eastAsia" w:ascii="仿宋_GB2312" w:eastAsia="仿宋_GB2312"/>
              <w:sz w:val="32"/>
              <w:szCs w:val="32"/>
            </w:rPr>
            <w:t>一、发展基础</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_Toc90281379 \h </w:instrText>
          </w:r>
          <w:r>
            <w:rPr>
              <w:rFonts w:hint="eastAsia" w:ascii="仿宋_GB2312" w:eastAsia="仿宋_GB2312"/>
              <w:sz w:val="32"/>
              <w:szCs w:val="32"/>
            </w:rPr>
            <w:fldChar w:fldCharType="separate"/>
          </w:r>
          <w:r>
            <w:rPr>
              <w:rFonts w:ascii="仿宋_GB2312" w:eastAsia="仿宋_GB2312"/>
              <w:sz w:val="32"/>
              <w:szCs w:val="32"/>
            </w:rPr>
            <w:t>- 1 -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"_Toc90281380" </w:instrText>
          </w:r>
          <w:r>
            <w:fldChar w:fldCharType="separate"/>
          </w:r>
          <w:r>
            <w:rPr>
              <w:rStyle w:val="23"/>
              <w:rFonts w:hint="eastAsia" w:ascii="仿宋_GB2312" w:eastAsia="仿宋_GB2312"/>
              <w:sz w:val="32"/>
              <w:szCs w:val="32"/>
            </w:rPr>
            <w:t>（一）全市教育规模实现新增长</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_Toc90281380 \h </w:instrText>
          </w:r>
          <w:r>
            <w:rPr>
              <w:rFonts w:hint="eastAsia" w:ascii="仿宋_GB2312" w:eastAsia="仿宋_GB2312"/>
              <w:sz w:val="32"/>
              <w:szCs w:val="32"/>
            </w:rPr>
            <w:fldChar w:fldCharType="separate"/>
          </w:r>
          <w:r>
            <w:rPr>
              <w:rFonts w:ascii="仿宋_GB2312" w:eastAsia="仿宋_GB2312"/>
              <w:sz w:val="32"/>
              <w:szCs w:val="32"/>
            </w:rPr>
            <w:t>- 1 -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"_Toc90281381" </w:instrText>
          </w:r>
          <w:r>
            <w:fldChar w:fldCharType="separate"/>
          </w:r>
          <w:r>
            <w:rPr>
              <w:rStyle w:val="23"/>
              <w:rFonts w:hint="eastAsia" w:ascii="仿宋_GB2312" w:eastAsia="仿宋_GB2312"/>
              <w:sz w:val="32"/>
              <w:szCs w:val="32"/>
            </w:rPr>
            <w:t>（二）素质教育质量提高到新水平</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_Toc90281381 \h </w:instrText>
          </w:r>
          <w:r>
            <w:rPr>
              <w:rFonts w:hint="eastAsia" w:ascii="仿宋_GB2312" w:eastAsia="仿宋_GB2312"/>
              <w:sz w:val="32"/>
              <w:szCs w:val="32"/>
            </w:rPr>
            <w:fldChar w:fldCharType="separate"/>
          </w:r>
          <w:r>
            <w:rPr>
              <w:rFonts w:ascii="仿宋_GB2312" w:eastAsia="仿宋_GB2312"/>
              <w:sz w:val="32"/>
              <w:szCs w:val="32"/>
            </w:rPr>
            <w:t>- 1 -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"_Toc90281382" </w:instrText>
          </w:r>
          <w:r>
            <w:fldChar w:fldCharType="separate"/>
          </w:r>
          <w:r>
            <w:rPr>
              <w:rStyle w:val="23"/>
              <w:rFonts w:hint="eastAsia" w:ascii="仿宋_GB2312" w:eastAsia="仿宋_GB2312"/>
              <w:sz w:val="32"/>
              <w:szCs w:val="32"/>
            </w:rPr>
            <w:t>（三）学前教育取得新进步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_Toc90281382 \h </w:instrText>
          </w:r>
          <w:r>
            <w:rPr>
              <w:rFonts w:hint="eastAsia" w:ascii="仿宋_GB2312" w:eastAsia="仿宋_GB2312"/>
              <w:sz w:val="32"/>
              <w:szCs w:val="32"/>
            </w:rPr>
            <w:fldChar w:fldCharType="separate"/>
          </w:r>
          <w:r>
            <w:rPr>
              <w:rFonts w:ascii="仿宋_GB2312" w:eastAsia="仿宋_GB2312"/>
              <w:sz w:val="32"/>
              <w:szCs w:val="32"/>
            </w:rPr>
            <w:t>- 2 -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"_Toc90281383" </w:instrText>
          </w:r>
          <w:r>
            <w:fldChar w:fldCharType="separate"/>
          </w:r>
          <w:r>
            <w:rPr>
              <w:rStyle w:val="23"/>
              <w:rFonts w:hint="eastAsia" w:ascii="仿宋_GB2312" w:eastAsia="仿宋_GB2312"/>
              <w:sz w:val="32"/>
              <w:szCs w:val="32"/>
            </w:rPr>
            <w:t>（四）义务教育质量均衡双提升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_Toc90281383 \h </w:instrText>
          </w:r>
          <w:r>
            <w:rPr>
              <w:rFonts w:hint="eastAsia" w:ascii="仿宋_GB2312" w:eastAsia="仿宋_GB2312"/>
              <w:sz w:val="32"/>
              <w:szCs w:val="32"/>
            </w:rPr>
            <w:fldChar w:fldCharType="separate"/>
          </w:r>
          <w:r>
            <w:rPr>
              <w:rFonts w:ascii="仿宋_GB2312" w:eastAsia="仿宋_GB2312"/>
              <w:sz w:val="32"/>
              <w:szCs w:val="32"/>
            </w:rPr>
            <w:t>- 2 -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"_Toc90281384" </w:instrText>
          </w:r>
          <w:r>
            <w:fldChar w:fldCharType="separate"/>
          </w:r>
          <w:r>
            <w:rPr>
              <w:rStyle w:val="23"/>
              <w:rFonts w:hint="eastAsia" w:ascii="仿宋_GB2312" w:eastAsia="仿宋_GB2312"/>
              <w:sz w:val="32"/>
              <w:szCs w:val="32"/>
            </w:rPr>
            <w:t>（五）普通高中教育扩容提质取得新进展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_Toc90281384 \h </w:instrText>
          </w:r>
          <w:r>
            <w:rPr>
              <w:rFonts w:hint="eastAsia" w:ascii="仿宋_GB2312" w:eastAsia="仿宋_GB2312"/>
              <w:sz w:val="32"/>
              <w:szCs w:val="32"/>
            </w:rPr>
            <w:fldChar w:fldCharType="separate"/>
          </w:r>
          <w:r>
            <w:rPr>
              <w:rFonts w:ascii="仿宋_GB2312" w:eastAsia="仿宋_GB2312"/>
              <w:sz w:val="32"/>
              <w:szCs w:val="32"/>
            </w:rPr>
            <w:t>- 3 -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"_Toc90281385" </w:instrText>
          </w:r>
          <w:r>
            <w:fldChar w:fldCharType="separate"/>
          </w:r>
          <w:r>
            <w:rPr>
              <w:rStyle w:val="23"/>
              <w:rFonts w:hint="eastAsia" w:ascii="仿宋_GB2312" w:eastAsia="仿宋_GB2312"/>
              <w:sz w:val="32"/>
              <w:szCs w:val="32"/>
            </w:rPr>
            <w:t>（六）中等职业教育发展取得新突破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_Toc90281385 \h </w:instrText>
          </w:r>
          <w:r>
            <w:rPr>
              <w:rFonts w:hint="eastAsia" w:ascii="仿宋_GB2312" w:eastAsia="仿宋_GB2312"/>
              <w:sz w:val="32"/>
              <w:szCs w:val="32"/>
            </w:rPr>
            <w:fldChar w:fldCharType="separate"/>
          </w:r>
          <w:r>
            <w:rPr>
              <w:rFonts w:ascii="仿宋_GB2312" w:eastAsia="仿宋_GB2312"/>
              <w:sz w:val="32"/>
              <w:szCs w:val="32"/>
            </w:rPr>
            <w:t>- 3 -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"_Toc90281386" </w:instrText>
          </w:r>
          <w:r>
            <w:fldChar w:fldCharType="separate"/>
          </w:r>
          <w:r>
            <w:rPr>
              <w:rStyle w:val="23"/>
              <w:rFonts w:hint="eastAsia" w:ascii="仿宋_GB2312" w:eastAsia="仿宋_GB2312"/>
              <w:sz w:val="32"/>
              <w:szCs w:val="32"/>
            </w:rPr>
            <w:t>（七）教育信息化程度不断提高</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_Toc90281386 \h </w:instrText>
          </w:r>
          <w:r>
            <w:rPr>
              <w:rFonts w:hint="eastAsia" w:ascii="仿宋_GB2312" w:eastAsia="仿宋_GB2312"/>
              <w:sz w:val="32"/>
              <w:szCs w:val="32"/>
            </w:rPr>
            <w:fldChar w:fldCharType="separate"/>
          </w:r>
          <w:r>
            <w:rPr>
              <w:rFonts w:ascii="仿宋_GB2312" w:eastAsia="仿宋_GB2312"/>
              <w:sz w:val="32"/>
              <w:szCs w:val="32"/>
            </w:rPr>
            <w:t>- 3 -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"_Toc90281387" </w:instrText>
          </w:r>
          <w:r>
            <w:fldChar w:fldCharType="separate"/>
          </w:r>
          <w:r>
            <w:rPr>
              <w:rStyle w:val="23"/>
              <w:rFonts w:hint="eastAsia" w:ascii="仿宋_GB2312" w:eastAsia="仿宋_GB2312"/>
              <w:sz w:val="32"/>
              <w:szCs w:val="32"/>
            </w:rPr>
            <w:t>（八）师资队伍整体素质不断提升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_Toc90281387 \h </w:instrText>
          </w:r>
          <w:r>
            <w:rPr>
              <w:rFonts w:hint="eastAsia" w:ascii="仿宋_GB2312" w:eastAsia="仿宋_GB2312"/>
              <w:sz w:val="32"/>
              <w:szCs w:val="32"/>
            </w:rPr>
            <w:fldChar w:fldCharType="separate"/>
          </w:r>
          <w:r>
            <w:rPr>
              <w:rFonts w:ascii="仿宋_GB2312" w:eastAsia="仿宋_GB2312"/>
              <w:sz w:val="32"/>
              <w:szCs w:val="32"/>
            </w:rPr>
            <w:t>- 4 -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"_Toc90281388" </w:instrText>
          </w:r>
          <w:r>
            <w:fldChar w:fldCharType="separate"/>
          </w:r>
          <w:r>
            <w:rPr>
              <w:rStyle w:val="23"/>
              <w:rFonts w:hint="eastAsia" w:ascii="仿宋_GB2312" w:eastAsia="仿宋_GB2312"/>
              <w:sz w:val="32"/>
              <w:szCs w:val="32"/>
            </w:rPr>
            <w:t>（九）积极构建服务全民终身学习的教育体系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_Toc90281388 \h </w:instrText>
          </w:r>
          <w:r>
            <w:rPr>
              <w:rFonts w:hint="eastAsia" w:ascii="仿宋_GB2312" w:eastAsia="仿宋_GB2312"/>
              <w:sz w:val="32"/>
              <w:szCs w:val="32"/>
            </w:rPr>
            <w:fldChar w:fldCharType="separate"/>
          </w:r>
          <w:r>
            <w:rPr>
              <w:rFonts w:ascii="仿宋_GB2312" w:eastAsia="仿宋_GB2312"/>
              <w:sz w:val="32"/>
              <w:szCs w:val="32"/>
            </w:rPr>
            <w:t>- 4 -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"_Toc90281389" </w:instrText>
          </w:r>
          <w:r>
            <w:fldChar w:fldCharType="separate"/>
          </w:r>
          <w:r>
            <w:rPr>
              <w:rStyle w:val="23"/>
              <w:rFonts w:hint="eastAsia" w:ascii="仿宋_GB2312" w:eastAsia="仿宋_GB2312"/>
              <w:sz w:val="32"/>
              <w:szCs w:val="32"/>
            </w:rPr>
            <w:t>（十）教育发展面临新挑战</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_Toc90281389 \h </w:instrText>
          </w:r>
          <w:r>
            <w:rPr>
              <w:rFonts w:hint="eastAsia" w:ascii="仿宋_GB2312" w:eastAsia="仿宋_GB2312"/>
              <w:sz w:val="32"/>
              <w:szCs w:val="32"/>
            </w:rPr>
            <w:fldChar w:fldCharType="separate"/>
          </w:r>
          <w:r>
            <w:rPr>
              <w:rFonts w:ascii="仿宋_GB2312" w:eastAsia="仿宋_GB2312"/>
              <w:sz w:val="32"/>
              <w:szCs w:val="32"/>
            </w:rPr>
            <w:t>- 5 -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tabs>
              <w:tab w:val="right" w:leader="dot" w:pos="8914"/>
            </w:tabs>
            <w:rPr>
              <w:rFonts w:ascii="仿宋_GB2312" w:eastAsia="仿宋_GB2312" w:cstheme="minorBidi"/>
              <w:b w:val="0"/>
              <w:bCs w:val="0"/>
              <w:caps w:val="0"/>
              <w:sz w:val="32"/>
              <w:szCs w:val="32"/>
            </w:rPr>
          </w:pPr>
          <w:r>
            <w:fldChar w:fldCharType="begin"/>
          </w:r>
          <w:r>
            <w:instrText xml:space="preserve"> HYPERLINK \l "_Toc90281390" </w:instrText>
          </w:r>
          <w:r>
            <w:fldChar w:fldCharType="separate"/>
          </w:r>
          <w:r>
            <w:rPr>
              <w:rStyle w:val="23"/>
              <w:rFonts w:hint="eastAsia" w:ascii="仿宋_GB2312" w:eastAsia="仿宋_GB2312"/>
              <w:sz w:val="32"/>
              <w:szCs w:val="32"/>
            </w:rPr>
            <w:t>二、总体要求和发展目标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_Toc90281390 \h </w:instrText>
          </w:r>
          <w:r>
            <w:rPr>
              <w:rFonts w:hint="eastAsia" w:ascii="仿宋_GB2312" w:eastAsia="仿宋_GB2312"/>
              <w:sz w:val="32"/>
              <w:szCs w:val="32"/>
            </w:rPr>
            <w:fldChar w:fldCharType="separate"/>
          </w:r>
          <w:r>
            <w:rPr>
              <w:rFonts w:ascii="仿宋_GB2312" w:eastAsia="仿宋_GB2312"/>
              <w:sz w:val="32"/>
              <w:szCs w:val="32"/>
            </w:rPr>
            <w:t>- 5 -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"_Toc90281391" </w:instrText>
          </w:r>
          <w:r>
            <w:fldChar w:fldCharType="separate"/>
          </w:r>
          <w:r>
            <w:rPr>
              <w:rStyle w:val="23"/>
              <w:rFonts w:hint="eastAsia" w:ascii="仿宋_GB2312" w:eastAsia="仿宋_GB2312"/>
              <w:sz w:val="32"/>
              <w:szCs w:val="32"/>
            </w:rPr>
            <w:t>（一）总体要求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_Toc90281391 \h </w:instrText>
          </w:r>
          <w:r>
            <w:rPr>
              <w:rFonts w:hint="eastAsia" w:ascii="仿宋_GB2312" w:eastAsia="仿宋_GB2312"/>
              <w:sz w:val="32"/>
              <w:szCs w:val="32"/>
            </w:rPr>
            <w:fldChar w:fldCharType="separate"/>
          </w:r>
          <w:r>
            <w:rPr>
              <w:rFonts w:ascii="仿宋_GB2312" w:eastAsia="仿宋_GB2312"/>
              <w:sz w:val="32"/>
              <w:szCs w:val="32"/>
            </w:rPr>
            <w:t>- 5 -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"_Toc90281392" </w:instrText>
          </w:r>
          <w:r>
            <w:fldChar w:fldCharType="separate"/>
          </w:r>
          <w:r>
            <w:rPr>
              <w:rStyle w:val="23"/>
              <w:rFonts w:hint="eastAsia" w:ascii="仿宋_GB2312" w:eastAsia="仿宋_GB2312"/>
              <w:sz w:val="32"/>
              <w:szCs w:val="32"/>
            </w:rPr>
            <w:t>（二）发展目标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_Toc90281392 \h </w:instrText>
          </w:r>
          <w:r>
            <w:rPr>
              <w:rFonts w:hint="eastAsia" w:ascii="仿宋_GB2312" w:eastAsia="仿宋_GB2312"/>
              <w:sz w:val="32"/>
              <w:szCs w:val="32"/>
            </w:rPr>
            <w:fldChar w:fldCharType="separate"/>
          </w:r>
          <w:r>
            <w:rPr>
              <w:rFonts w:ascii="仿宋_GB2312" w:eastAsia="仿宋_GB2312"/>
              <w:sz w:val="32"/>
              <w:szCs w:val="32"/>
            </w:rPr>
            <w:t>- 6 -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"_Toc90281393" </w:instrText>
          </w:r>
          <w:r>
            <w:fldChar w:fldCharType="separate"/>
          </w:r>
          <w:r>
            <w:rPr>
              <w:rStyle w:val="23"/>
              <w:rFonts w:hint="eastAsia" w:ascii="仿宋_GB2312" w:eastAsia="仿宋_GB2312"/>
              <w:i w:val="0"/>
              <w:iCs w:val="0"/>
              <w:sz w:val="32"/>
              <w:szCs w:val="32"/>
            </w:rPr>
            <w:t>1.总体目标</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_Toc90281393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- 6 -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"_Toc90281394" </w:instrText>
          </w:r>
          <w:r>
            <w:fldChar w:fldCharType="separate"/>
          </w:r>
          <w:r>
            <w:rPr>
              <w:rStyle w:val="23"/>
              <w:rFonts w:hint="eastAsia" w:ascii="仿宋_GB2312" w:eastAsia="仿宋_GB2312"/>
              <w:i w:val="0"/>
              <w:iCs w:val="0"/>
              <w:sz w:val="32"/>
              <w:szCs w:val="32"/>
            </w:rPr>
            <w:t>2.具体目标</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_Toc90281394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- 6 -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"_Toc90281395" </w:instrText>
          </w:r>
          <w:r>
            <w:fldChar w:fldCharType="separate"/>
          </w:r>
          <w:r>
            <w:rPr>
              <w:rStyle w:val="23"/>
              <w:rFonts w:hint="eastAsia" w:ascii="仿宋_GB2312" w:eastAsia="仿宋_GB2312"/>
              <w:i w:val="0"/>
              <w:iCs w:val="0"/>
              <w:sz w:val="32"/>
              <w:szCs w:val="32"/>
            </w:rPr>
            <w:t>3.主要发展指标</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_Toc90281395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- 7 -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"_Toc90281396" </w:instrText>
          </w:r>
          <w:r>
            <w:fldChar w:fldCharType="separate"/>
          </w:r>
          <w:r>
            <w:rPr>
              <w:rStyle w:val="23"/>
              <w:rFonts w:hint="eastAsia" w:ascii="仿宋_GB2312" w:hAnsi="楷体" w:eastAsia="仿宋_GB2312" w:cs="楷体"/>
              <w:i w:val="0"/>
              <w:iCs w:val="0"/>
              <w:sz w:val="32"/>
              <w:szCs w:val="32"/>
            </w:rPr>
            <w:t>表1  陆丰教育发展“十四五”主要指标</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_Toc90281396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- 7 -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4"/>
            <w:tabs>
              <w:tab w:val="right" w:leader="dot" w:pos="8914"/>
            </w:tabs>
            <w:rPr>
              <w:rFonts w:ascii="仿宋_GB2312" w:eastAsia="仿宋_GB2312" w:cstheme="minorBidi"/>
              <w:b w:val="0"/>
              <w:bCs w:val="0"/>
              <w:caps w:val="0"/>
              <w:sz w:val="32"/>
              <w:szCs w:val="32"/>
            </w:rPr>
          </w:pPr>
          <w:r>
            <w:fldChar w:fldCharType="begin"/>
          </w:r>
          <w:r>
            <w:instrText xml:space="preserve"> HYPERLINK \l "_Toc90281397" </w:instrText>
          </w:r>
          <w:r>
            <w:fldChar w:fldCharType="separate"/>
          </w:r>
          <w:r>
            <w:rPr>
              <w:rStyle w:val="23"/>
              <w:rFonts w:hint="eastAsia" w:ascii="仿宋_GB2312" w:eastAsia="仿宋_GB2312"/>
              <w:sz w:val="32"/>
              <w:szCs w:val="32"/>
            </w:rPr>
            <w:t>三、主要任务及措施</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_Toc90281397 \h </w:instrText>
          </w:r>
          <w:r>
            <w:rPr>
              <w:rFonts w:hint="eastAsia" w:ascii="仿宋_GB2312" w:eastAsia="仿宋_GB2312"/>
              <w:sz w:val="32"/>
              <w:szCs w:val="32"/>
            </w:rPr>
            <w:fldChar w:fldCharType="separate"/>
          </w:r>
          <w:r>
            <w:rPr>
              <w:rFonts w:ascii="仿宋_GB2312" w:eastAsia="仿宋_GB2312"/>
              <w:sz w:val="32"/>
              <w:szCs w:val="32"/>
            </w:rPr>
            <w:t>- 8 -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"_Toc90281398" </w:instrText>
          </w:r>
          <w:r>
            <w:fldChar w:fldCharType="separate"/>
          </w:r>
          <w:r>
            <w:rPr>
              <w:rStyle w:val="23"/>
              <w:rFonts w:hint="eastAsia" w:ascii="仿宋_GB2312" w:eastAsia="仿宋_GB2312"/>
              <w:sz w:val="32"/>
              <w:szCs w:val="32"/>
            </w:rPr>
            <w:t>（一）实施党建引领工程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_Toc90281398 \h </w:instrText>
          </w:r>
          <w:r>
            <w:rPr>
              <w:rFonts w:hint="eastAsia" w:ascii="仿宋_GB2312" w:eastAsia="仿宋_GB2312"/>
              <w:sz w:val="32"/>
              <w:szCs w:val="32"/>
            </w:rPr>
            <w:fldChar w:fldCharType="separate"/>
          </w:r>
          <w:r>
            <w:rPr>
              <w:rFonts w:ascii="仿宋_GB2312" w:eastAsia="仿宋_GB2312"/>
              <w:sz w:val="32"/>
              <w:szCs w:val="32"/>
            </w:rPr>
            <w:t>- 8 -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"_Toc90281399" </w:instrText>
          </w:r>
          <w:r>
            <w:fldChar w:fldCharType="separate"/>
          </w:r>
          <w:r>
            <w:rPr>
              <w:rStyle w:val="23"/>
              <w:rFonts w:hint="eastAsia" w:ascii="仿宋_GB2312" w:eastAsia="仿宋_GB2312"/>
              <w:i w:val="0"/>
              <w:iCs w:val="0"/>
              <w:sz w:val="32"/>
              <w:szCs w:val="32"/>
            </w:rPr>
            <w:t>1.加强党对教育工作的全面领导</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_Toc90281399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- 8 -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"_Toc90281400" </w:instrText>
          </w:r>
          <w:r>
            <w:fldChar w:fldCharType="separate"/>
          </w:r>
          <w:r>
            <w:rPr>
              <w:rStyle w:val="23"/>
              <w:rFonts w:hint="eastAsia" w:ascii="仿宋_GB2312" w:eastAsia="仿宋_GB2312"/>
              <w:i w:val="0"/>
              <w:iCs w:val="0"/>
              <w:sz w:val="32"/>
              <w:szCs w:val="32"/>
            </w:rPr>
            <w:t>2.推动党建创新引领教育创优发展</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_Toc90281400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- 8 -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"_Toc90281401" </w:instrText>
          </w:r>
          <w:r>
            <w:fldChar w:fldCharType="separate"/>
          </w:r>
          <w:r>
            <w:rPr>
              <w:rStyle w:val="23"/>
              <w:rFonts w:hint="eastAsia" w:ascii="仿宋_GB2312" w:eastAsia="仿宋_GB2312"/>
              <w:sz w:val="32"/>
              <w:szCs w:val="32"/>
            </w:rPr>
            <w:t>（二）实施学前教育普惠发展工程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_Toc90281401 \h </w:instrText>
          </w:r>
          <w:r>
            <w:rPr>
              <w:rFonts w:hint="eastAsia" w:ascii="仿宋_GB2312" w:eastAsia="仿宋_GB2312"/>
              <w:sz w:val="32"/>
              <w:szCs w:val="32"/>
            </w:rPr>
            <w:fldChar w:fldCharType="separate"/>
          </w:r>
          <w:r>
            <w:rPr>
              <w:rFonts w:ascii="仿宋_GB2312" w:eastAsia="仿宋_GB2312"/>
              <w:sz w:val="32"/>
              <w:szCs w:val="32"/>
            </w:rPr>
            <w:t>- 9 -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"_Toc90281402" </w:instrText>
          </w:r>
          <w:r>
            <w:fldChar w:fldCharType="separate"/>
          </w:r>
          <w:r>
            <w:rPr>
              <w:rStyle w:val="23"/>
              <w:rFonts w:hint="eastAsia" w:ascii="仿宋_GB2312" w:eastAsia="仿宋_GB2312"/>
              <w:i w:val="0"/>
              <w:iCs w:val="0"/>
              <w:sz w:val="32"/>
              <w:szCs w:val="32"/>
            </w:rPr>
            <w:t>1.扩大普惠性学前教育资源</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_Toc90281402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- 9 -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"_Toc90281403" </w:instrText>
          </w:r>
          <w:r>
            <w:fldChar w:fldCharType="separate"/>
          </w:r>
          <w:r>
            <w:rPr>
              <w:rStyle w:val="23"/>
              <w:rFonts w:hint="eastAsia" w:ascii="仿宋_GB2312" w:eastAsia="仿宋_GB2312"/>
              <w:i w:val="0"/>
              <w:iCs w:val="0"/>
              <w:sz w:val="32"/>
              <w:szCs w:val="32"/>
            </w:rPr>
            <w:t>2.促进学前教育安全优质发展</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_Toc90281403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- 9 -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"_Toc90281404" </w:instrText>
          </w:r>
          <w:r>
            <w:fldChar w:fldCharType="separate"/>
          </w:r>
          <w:r>
            <w:rPr>
              <w:rStyle w:val="23"/>
              <w:rFonts w:hint="eastAsia" w:ascii="仿宋_GB2312" w:hAnsi="楷体" w:eastAsia="仿宋_GB2312" w:cs="楷体"/>
              <w:i w:val="0"/>
              <w:iCs w:val="0"/>
              <w:sz w:val="32"/>
              <w:szCs w:val="32"/>
            </w:rPr>
            <w:t>表2 “十四五”期间陆丰市公立幼儿园新增学位及建设规划情况表</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_Toc90281404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- 10 -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"_Toc90281405" </w:instrText>
          </w:r>
          <w:r>
            <w:fldChar w:fldCharType="separate"/>
          </w:r>
          <w:r>
            <w:rPr>
              <w:rStyle w:val="23"/>
              <w:rFonts w:hint="eastAsia" w:ascii="仿宋_GB2312" w:eastAsia="仿宋_GB2312"/>
              <w:sz w:val="32"/>
              <w:szCs w:val="32"/>
            </w:rPr>
            <w:t>（三）实施义务教育优质均衡发展工程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_Toc90281405 \h </w:instrText>
          </w:r>
          <w:r>
            <w:rPr>
              <w:rFonts w:hint="eastAsia" w:ascii="仿宋_GB2312" w:eastAsia="仿宋_GB2312"/>
              <w:sz w:val="32"/>
              <w:szCs w:val="32"/>
            </w:rPr>
            <w:fldChar w:fldCharType="separate"/>
          </w:r>
          <w:r>
            <w:rPr>
              <w:rFonts w:ascii="仿宋_GB2312" w:eastAsia="仿宋_GB2312"/>
              <w:sz w:val="32"/>
              <w:szCs w:val="32"/>
            </w:rPr>
            <w:t>- 11 -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"_Toc90281406" </w:instrText>
          </w:r>
          <w:r>
            <w:fldChar w:fldCharType="separate"/>
          </w:r>
          <w:r>
            <w:rPr>
              <w:rStyle w:val="23"/>
              <w:rFonts w:hint="eastAsia" w:ascii="仿宋_GB2312" w:eastAsia="仿宋_GB2312"/>
              <w:i w:val="0"/>
              <w:iCs w:val="0"/>
              <w:sz w:val="32"/>
              <w:szCs w:val="32"/>
            </w:rPr>
            <w:t>1.全面夯实义务教育优质均衡发展基础</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_Toc90281406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- 11 -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"_Toc90281407" </w:instrText>
          </w:r>
          <w:r>
            <w:fldChar w:fldCharType="separate"/>
          </w:r>
          <w:r>
            <w:rPr>
              <w:rStyle w:val="23"/>
              <w:rFonts w:hint="eastAsia" w:ascii="仿宋_GB2312" w:eastAsia="仿宋_GB2312"/>
              <w:i w:val="0"/>
              <w:iCs w:val="0"/>
              <w:sz w:val="32"/>
              <w:szCs w:val="32"/>
            </w:rPr>
            <w:t>2.进一步优化教育布局</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_Toc90281407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- 11 -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"_Toc90281408" </w:instrText>
          </w:r>
          <w:r>
            <w:fldChar w:fldCharType="separate"/>
          </w:r>
          <w:r>
            <w:rPr>
              <w:rStyle w:val="23"/>
              <w:rFonts w:hint="eastAsia" w:ascii="仿宋_GB2312" w:hAnsi="楷体" w:eastAsia="仿宋_GB2312" w:cs="楷体"/>
              <w:i w:val="0"/>
              <w:iCs w:val="0"/>
              <w:sz w:val="32"/>
              <w:szCs w:val="32"/>
            </w:rPr>
            <w:t>表3“十四五”期间陆丰市义务教育公办学位供给及建设规划表</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- 12 -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"_Toc90281409" </w:instrText>
          </w:r>
          <w:r>
            <w:fldChar w:fldCharType="separate"/>
          </w:r>
          <w:r>
            <w:rPr>
              <w:rStyle w:val="23"/>
              <w:rFonts w:hint="eastAsia" w:ascii="仿宋_GB2312" w:eastAsia="仿宋_GB2312"/>
              <w:i w:val="0"/>
              <w:iCs w:val="0"/>
              <w:sz w:val="32"/>
              <w:szCs w:val="32"/>
            </w:rPr>
            <w:t>3.积极探索多种办学模式</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_Toc90281409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- 13 -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"_Toc90281410" </w:instrText>
          </w:r>
          <w:r>
            <w:fldChar w:fldCharType="separate"/>
          </w:r>
          <w:r>
            <w:rPr>
              <w:rStyle w:val="23"/>
              <w:rFonts w:hint="eastAsia" w:ascii="仿宋_GB2312" w:eastAsia="仿宋_GB2312"/>
              <w:sz w:val="32"/>
              <w:szCs w:val="32"/>
            </w:rPr>
            <w:t>（四）实施义务教育和高中教育教学质量提升工程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_Toc90281410 \h </w:instrText>
          </w:r>
          <w:r>
            <w:rPr>
              <w:rFonts w:hint="eastAsia" w:ascii="仿宋_GB2312" w:eastAsia="仿宋_GB2312"/>
              <w:sz w:val="32"/>
              <w:szCs w:val="32"/>
            </w:rPr>
            <w:fldChar w:fldCharType="separate"/>
          </w:r>
          <w:r>
            <w:rPr>
              <w:rFonts w:ascii="仿宋_GB2312" w:eastAsia="仿宋_GB2312"/>
              <w:sz w:val="32"/>
              <w:szCs w:val="32"/>
            </w:rPr>
            <w:t>- 13 -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"_Toc90281411" </w:instrText>
          </w:r>
          <w:r>
            <w:fldChar w:fldCharType="separate"/>
          </w:r>
          <w:r>
            <w:rPr>
              <w:rStyle w:val="23"/>
              <w:rFonts w:hint="eastAsia" w:ascii="仿宋_GB2312" w:eastAsia="仿宋_GB2312"/>
              <w:i w:val="0"/>
              <w:iCs w:val="0"/>
              <w:sz w:val="32"/>
              <w:szCs w:val="32"/>
            </w:rPr>
            <w:t>1.加快推进高中学校布局调整</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_Toc90281411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- 13 -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"_Toc90281412" </w:instrText>
          </w:r>
          <w:r>
            <w:fldChar w:fldCharType="separate"/>
          </w:r>
          <w:r>
            <w:rPr>
              <w:rStyle w:val="23"/>
              <w:rFonts w:hint="eastAsia" w:ascii="仿宋_GB2312" w:hAnsi="楷体" w:eastAsia="仿宋_GB2312" w:cs="楷体"/>
              <w:i w:val="0"/>
              <w:iCs w:val="0"/>
              <w:sz w:val="32"/>
              <w:szCs w:val="32"/>
            </w:rPr>
            <w:t>表4“十四五”期间陆丰市高中公办学位供给及建设规划表</w:t>
          </w:r>
          <w:r>
            <w:rPr>
              <w:rFonts w:hint="eastAsia" w:ascii="仿宋_GB2312" w:eastAsia="仿宋_GB2312"/>
              <w:i w:val="0"/>
              <w:iCs w:val="0"/>
              <w:sz w:val="32"/>
              <w:szCs w:val="32"/>
            </w:rPr>
            <w:tab/>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_Toc90281412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- 13 -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"_Toc90281413" </w:instrText>
          </w:r>
          <w:r>
            <w:fldChar w:fldCharType="separate"/>
          </w:r>
          <w:r>
            <w:rPr>
              <w:rStyle w:val="23"/>
              <w:rFonts w:hint="eastAsia" w:ascii="仿宋_GB2312" w:eastAsia="仿宋_GB2312"/>
              <w:i w:val="0"/>
              <w:iCs w:val="0"/>
              <w:sz w:val="32"/>
              <w:szCs w:val="32"/>
            </w:rPr>
            <w:t>2.建立科学的教育教学质量监测体系</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_Toc90281413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- 14 -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"_Toc90281414" </w:instrText>
          </w:r>
          <w:r>
            <w:fldChar w:fldCharType="separate"/>
          </w:r>
          <w:r>
            <w:rPr>
              <w:rStyle w:val="23"/>
              <w:rFonts w:hint="eastAsia" w:ascii="仿宋_GB2312" w:eastAsia="仿宋_GB2312"/>
              <w:i w:val="0"/>
              <w:iCs w:val="0"/>
              <w:sz w:val="32"/>
              <w:szCs w:val="32"/>
            </w:rPr>
            <w:t>3.深化教育教学科学研究</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_Toc90281414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- 14 -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"_Toc90281415" </w:instrText>
          </w:r>
          <w:r>
            <w:fldChar w:fldCharType="separate"/>
          </w:r>
          <w:r>
            <w:rPr>
              <w:rStyle w:val="23"/>
              <w:rFonts w:hint="eastAsia" w:ascii="仿宋_GB2312" w:eastAsia="仿宋_GB2312"/>
              <w:sz w:val="32"/>
              <w:szCs w:val="32"/>
            </w:rPr>
            <w:t>（五）实施职业教育品质提升工程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_Toc90281415 \h </w:instrText>
          </w:r>
          <w:r>
            <w:rPr>
              <w:rFonts w:hint="eastAsia" w:ascii="仿宋_GB2312" w:eastAsia="仿宋_GB2312"/>
              <w:sz w:val="32"/>
              <w:szCs w:val="32"/>
            </w:rPr>
            <w:fldChar w:fldCharType="separate"/>
          </w:r>
          <w:r>
            <w:rPr>
              <w:rFonts w:ascii="仿宋_GB2312" w:eastAsia="仿宋_GB2312"/>
              <w:sz w:val="32"/>
              <w:szCs w:val="32"/>
            </w:rPr>
            <w:t>- 15 -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"_Toc90281416" </w:instrText>
          </w:r>
          <w:r>
            <w:fldChar w:fldCharType="separate"/>
          </w:r>
          <w:r>
            <w:rPr>
              <w:rStyle w:val="23"/>
              <w:rFonts w:hint="eastAsia" w:ascii="仿宋_GB2312" w:eastAsia="仿宋_GB2312"/>
              <w:i w:val="0"/>
              <w:iCs w:val="0"/>
              <w:sz w:val="32"/>
              <w:szCs w:val="32"/>
            </w:rPr>
            <w:t>1.进一步优化中职学校布局</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_Toc90281416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- 15 -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"_Toc90281417" </w:instrText>
          </w:r>
          <w:r>
            <w:fldChar w:fldCharType="separate"/>
          </w:r>
          <w:r>
            <w:rPr>
              <w:rStyle w:val="23"/>
              <w:rFonts w:hint="eastAsia" w:ascii="仿宋_GB2312" w:eastAsia="仿宋_GB2312"/>
              <w:i w:val="0"/>
              <w:iCs w:val="0"/>
              <w:sz w:val="32"/>
              <w:szCs w:val="32"/>
            </w:rPr>
            <w:t>2.进一步提升中职教育质量</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_Toc90281417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- 15 -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"_Toc90281418" </w:instrText>
          </w:r>
          <w:r>
            <w:fldChar w:fldCharType="separate"/>
          </w:r>
          <w:r>
            <w:rPr>
              <w:rStyle w:val="23"/>
              <w:rFonts w:hint="eastAsia" w:ascii="仿宋_GB2312" w:eastAsia="仿宋_GB2312"/>
              <w:i w:val="0"/>
              <w:iCs w:val="0"/>
              <w:sz w:val="32"/>
              <w:szCs w:val="32"/>
            </w:rPr>
            <w:t>3.加强“双师型”教师队伍建设</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_Toc90281418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- 15 -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"_Toc90281419" </w:instrText>
          </w:r>
          <w:r>
            <w:fldChar w:fldCharType="separate"/>
          </w:r>
          <w:r>
            <w:rPr>
              <w:rStyle w:val="23"/>
              <w:rFonts w:hint="eastAsia" w:ascii="仿宋_GB2312" w:eastAsia="仿宋_GB2312"/>
              <w:sz w:val="32"/>
              <w:szCs w:val="32"/>
            </w:rPr>
            <w:t>（六）实施青少年塑魂育人工程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_Toc90281419 \h </w:instrText>
          </w:r>
          <w:r>
            <w:rPr>
              <w:rFonts w:hint="eastAsia" w:ascii="仿宋_GB2312" w:eastAsia="仿宋_GB2312"/>
              <w:sz w:val="32"/>
              <w:szCs w:val="32"/>
            </w:rPr>
            <w:fldChar w:fldCharType="separate"/>
          </w:r>
          <w:r>
            <w:rPr>
              <w:rFonts w:ascii="仿宋_GB2312" w:eastAsia="仿宋_GB2312"/>
              <w:sz w:val="32"/>
              <w:szCs w:val="32"/>
            </w:rPr>
            <w:t>- 16 -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"_Toc90281420" </w:instrText>
          </w:r>
          <w:r>
            <w:fldChar w:fldCharType="separate"/>
          </w:r>
          <w:r>
            <w:rPr>
              <w:rStyle w:val="23"/>
              <w:rFonts w:hint="eastAsia" w:ascii="仿宋_GB2312" w:eastAsia="仿宋_GB2312"/>
              <w:i w:val="0"/>
              <w:iCs w:val="0"/>
              <w:sz w:val="32"/>
              <w:szCs w:val="32"/>
            </w:rPr>
            <w:t>1.加强思政课和课程思政建设</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_Toc90281420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- 16 -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"_Toc90281421" </w:instrText>
          </w:r>
          <w:r>
            <w:fldChar w:fldCharType="separate"/>
          </w:r>
          <w:r>
            <w:rPr>
              <w:rStyle w:val="23"/>
              <w:rFonts w:hint="eastAsia" w:ascii="仿宋_GB2312" w:eastAsia="仿宋_GB2312"/>
              <w:i w:val="0"/>
              <w:iCs w:val="0"/>
              <w:sz w:val="32"/>
              <w:szCs w:val="32"/>
            </w:rPr>
            <w:t>2.加强未成年人思想道德建设</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_Toc90281421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- 16 -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"_Toc90281422" </w:instrText>
          </w:r>
          <w:r>
            <w:fldChar w:fldCharType="separate"/>
          </w:r>
          <w:r>
            <w:rPr>
              <w:rStyle w:val="23"/>
              <w:rFonts w:hint="eastAsia" w:ascii="仿宋_GB2312" w:eastAsia="仿宋_GB2312"/>
              <w:sz w:val="32"/>
              <w:szCs w:val="32"/>
            </w:rPr>
            <w:t>（七）实施教师能力提升工程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_Toc90281422 \h </w:instrText>
          </w:r>
          <w:r>
            <w:rPr>
              <w:rFonts w:hint="eastAsia" w:ascii="仿宋_GB2312" w:eastAsia="仿宋_GB2312"/>
              <w:sz w:val="32"/>
              <w:szCs w:val="32"/>
            </w:rPr>
            <w:fldChar w:fldCharType="separate"/>
          </w:r>
          <w:r>
            <w:rPr>
              <w:rFonts w:ascii="仿宋_GB2312" w:eastAsia="仿宋_GB2312"/>
              <w:sz w:val="32"/>
              <w:szCs w:val="32"/>
            </w:rPr>
            <w:t>- 16 -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"_Toc90281423" </w:instrText>
          </w:r>
          <w:r>
            <w:fldChar w:fldCharType="separate"/>
          </w:r>
          <w:r>
            <w:rPr>
              <w:rStyle w:val="23"/>
              <w:rFonts w:hint="eastAsia" w:ascii="仿宋_GB2312" w:eastAsia="仿宋_GB2312"/>
              <w:i w:val="0"/>
              <w:iCs w:val="0"/>
              <w:sz w:val="32"/>
              <w:szCs w:val="32"/>
            </w:rPr>
            <w:t>1.着力提高教师队伍整体素质</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_Toc90281423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- 16 -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"_Toc90281424" </w:instrText>
          </w:r>
          <w:r>
            <w:fldChar w:fldCharType="separate"/>
          </w:r>
          <w:r>
            <w:rPr>
              <w:rStyle w:val="23"/>
              <w:rFonts w:hint="eastAsia" w:ascii="仿宋_GB2312" w:eastAsia="仿宋_GB2312"/>
              <w:i w:val="0"/>
              <w:iCs w:val="0"/>
              <w:sz w:val="32"/>
              <w:szCs w:val="32"/>
            </w:rPr>
            <w:t>2.着力提升校长能力水平</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_Toc90281424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- 17 -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"_Toc90281425" </w:instrText>
          </w:r>
          <w:r>
            <w:fldChar w:fldCharType="separate"/>
          </w:r>
          <w:r>
            <w:rPr>
              <w:rStyle w:val="23"/>
              <w:rFonts w:hint="eastAsia" w:ascii="仿宋_GB2312" w:eastAsia="仿宋_GB2312"/>
              <w:i w:val="0"/>
              <w:iCs w:val="0"/>
              <w:sz w:val="32"/>
              <w:szCs w:val="32"/>
            </w:rPr>
            <w:t>3.持续加强师德师风建设</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_Toc90281425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- 18 -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"_Toc90281426" </w:instrText>
          </w:r>
          <w:r>
            <w:fldChar w:fldCharType="separate"/>
          </w:r>
          <w:r>
            <w:rPr>
              <w:rStyle w:val="23"/>
              <w:rFonts w:hint="eastAsia" w:ascii="仿宋_GB2312" w:eastAsia="仿宋_GB2312"/>
              <w:sz w:val="32"/>
              <w:szCs w:val="32"/>
            </w:rPr>
            <w:t>（八）实施信息化融合创新工程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_Toc90281426 \h </w:instrText>
          </w:r>
          <w:r>
            <w:rPr>
              <w:rFonts w:hint="eastAsia" w:ascii="仿宋_GB2312" w:eastAsia="仿宋_GB2312"/>
              <w:sz w:val="32"/>
              <w:szCs w:val="32"/>
            </w:rPr>
            <w:fldChar w:fldCharType="separate"/>
          </w:r>
          <w:r>
            <w:rPr>
              <w:rFonts w:ascii="仿宋_GB2312" w:eastAsia="仿宋_GB2312"/>
              <w:sz w:val="32"/>
              <w:szCs w:val="32"/>
            </w:rPr>
            <w:t>- 19 -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"_Toc90281427" </w:instrText>
          </w:r>
          <w:r>
            <w:fldChar w:fldCharType="separate"/>
          </w:r>
          <w:r>
            <w:rPr>
              <w:rStyle w:val="23"/>
              <w:rFonts w:hint="eastAsia" w:ascii="仿宋_GB2312" w:eastAsia="仿宋_GB2312"/>
              <w:i w:val="0"/>
              <w:iCs w:val="0"/>
              <w:sz w:val="32"/>
              <w:szCs w:val="32"/>
            </w:rPr>
            <w:t>1.推进信息技术与教育管理应用融合发展</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_Toc90281427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- 19 -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"_Toc90281428" </w:instrText>
          </w:r>
          <w:r>
            <w:fldChar w:fldCharType="separate"/>
          </w:r>
          <w:r>
            <w:rPr>
              <w:rStyle w:val="23"/>
              <w:rFonts w:hint="eastAsia" w:ascii="仿宋_GB2312" w:eastAsia="仿宋_GB2312"/>
              <w:i w:val="0"/>
              <w:iCs w:val="0"/>
              <w:sz w:val="32"/>
              <w:szCs w:val="32"/>
            </w:rPr>
            <w:t>2.推进基础教育教学与信息化融合创新发展</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_Toc90281428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- 20 -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"_Toc90281429" </w:instrText>
          </w:r>
          <w:r>
            <w:fldChar w:fldCharType="separate"/>
          </w:r>
          <w:r>
            <w:rPr>
              <w:rStyle w:val="23"/>
              <w:rFonts w:hint="eastAsia" w:ascii="仿宋_GB2312" w:eastAsia="仿宋_GB2312"/>
              <w:i w:val="0"/>
              <w:iCs w:val="0"/>
              <w:sz w:val="32"/>
              <w:szCs w:val="32"/>
            </w:rPr>
            <w:t>表5</w:t>
          </w:r>
          <w:r>
            <w:rPr>
              <w:rStyle w:val="23"/>
              <w:rFonts w:hint="eastAsia" w:ascii="仿宋_GB2312" w:hAnsi="楷体" w:eastAsia="仿宋_GB2312" w:cs="楷体"/>
              <w:i w:val="0"/>
              <w:iCs w:val="0"/>
              <w:sz w:val="32"/>
              <w:szCs w:val="32"/>
            </w:rPr>
            <w:t>“十四五”期间陆丰市信息化建设规划表</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_Toc90281429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- 20 -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"_Toc90281430" </w:instrText>
          </w:r>
          <w:r>
            <w:fldChar w:fldCharType="separate"/>
          </w:r>
          <w:r>
            <w:rPr>
              <w:rStyle w:val="23"/>
              <w:rFonts w:hint="eastAsia" w:ascii="仿宋_GB2312" w:eastAsia="仿宋_GB2312"/>
              <w:sz w:val="32"/>
              <w:szCs w:val="32"/>
            </w:rPr>
            <w:t>（九）建立健全现代化教育督导体系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_Toc90281430 \h </w:instrText>
          </w:r>
          <w:r>
            <w:rPr>
              <w:rFonts w:hint="eastAsia" w:ascii="仿宋_GB2312" w:eastAsia="仿宋_GB2312"/>
              <w:sz w:val="32"/>
              <w:szCs w:val="32"/>
            </w:rPr>
            <w:fldChar w:fldCharType="separate"/>
          </w:r>
          <w:r>
            <w:rPr>
              <w:rFonts w:ascii="仿宋_GB2312" w:eastAsia="仿宋_GB2312"/>
              <w:sz w:val="32"/>
              <w:szCs w:val="32"/>
            </w:rPr>
            <w:t>- 21 -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"_Toc90281431" </w:instrText>
          </w:r>
          <w:r>
            <w:fldChar w:fldCharType="separate"/>
          </w:r>
          <w:r>
            <w:rPr>
              <w:rStyle w:val="23"/>
              <w:rFonts w:hint="eastAsia" w:ascii="仿宋_GB2312" w:eastAsia="仿宋_GB2312"/>
              <w:i w:val="0"/>
              <w:iCs w:val="0"/>
              <w:sz w:val="32"/>
              <w:szCs w:val="32"/>
            </w:rPr>
            <w:t>1.落实责任督学挂牌督导制度</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_Toc90281431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- 21 -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914"/>
            </w:tabs>
            <w:rPr>
              <w:rFonts w:ascii="仿宋_GB2312" w:eastAsia="仿宋_GB2312" w:cstheme="minorBidi"/>
              <w:i w:val="0"/>
              <w:iCs w:val="0"/>
              <w:sz w:val="32"/>
              <w:szCs w:val="32"/>
            </w:rPr>
          </w:pPr>
          <w:r>
            <w:fldChar w:fldCharType="begin"/>
          </w:r>
          <w:r>
            <w:instrText xml:space="preserve"> HYPERLINK \l "_Toc90281432" </w:instrText>
          </w:r>
          <w:r>
            <w:fldChar w:fldCharType="separate"/>
          </w:r>
          <w:r>
            <w:rPr>
              <w:rStyle w:val="23"/>
              <w:rFonts w:hint="eastAsia" w:ascii="仿宋_GB2312" w:eastAsia="仿宋_GB2312"/>
              <w:i w:val="0"/>
              <w:iCs w:val="0"/>
              <w:sz w:val="32"/>
              <w:szCs w:val="32"/>
            </w:rPr>
            <w:t>2.健全教育督导机制</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_Toc90281432 \h </w:instrText>
          </w:r>
          <w:r>
            <w:rPr>
              <w:rFonts w:hint="eastAsia" w:ascii="仿宋_GB2312" w:eastAsia="仿宋_GB2312"/>
              <w:i w:val="0"/>
              <w:iCs w:val="0"/>
              <w:sz w:val="32"/>
              <w:szCs w:val="32"/>
            </w:rPr>
            <w:fldChar w:fldCharType="separate"/>
          </w:r>
          <w:r>
            <w:rPr>
              <w:rFonts w:ascii="仿宋_GB2312" w:eastAsia="仿宋_GB2312"/>
              <w:i w:val="0"/>
              <w:iCs w:val="0"/>
              <w:sz w:val="32"/>
              <w:szCs w:val="32"/>
            </w:rPr>
            <w:t>- 21 -</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"_Toc90281433" </w:instrText>
          </w:r>
          <w:r>
            <w:fldChar w:fldCharType="separate"/>
          </w:r>
          <w:r>
            <w:rPr>
              <w:rStyle w:val="23"/>
              <w:rFonts w:hint="eastAsia" w:ascii="仿宋_GB2312" w:eastAsia="仿宋_GB2312"/>
              <w:sz w:val="32"/>
              <w:szCs w:val="32"/>
            </w:rPr>
            <w:t>（十）构建终身教育体系工程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_Toc90281433 \h </w:instrText>
          </w:r>
          <w:r>
            <w:rPr>
              <w:rFonts w:hint="eastAsia" w:ascii="仿宋_GB2312" w:eastAsia="仿宋_GB2312"/>
              <w:sz w:val="32"/>
              <w:szCs w:val="32"/>
            </w:rPr>
            <w:fldChar w:fldCharType="separate"/>
          </w:r>
          <w:r>
            <w:rPr>
              <w:rFonts w:ascii="仿宋_GB2312" w:eastAsia="仿宋_GB2312"/>
              <w:sz w:val="32"/>
              <w:szCs w:val="32"/>
            </w:rPr>
            <w:t>- 21 -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tabs>
              <w:tab w:val="right" w:leader="dot" w:pos="8914"/>
            </w:tabs>
            <w:rPr>
              <w:rFonts w:ascii="仿宋_GB2312" w:eastAsia="仿宋_GB2312" w:cstheme="minorBidi"/>
              <w:b w:val="0"/>
              <w:bCs w:val="0"/>
              <w:caps w:val="0"/>
              <w:sz w:val="32"/>
              <w:szCs w:val="32"/>
            </w:rPr>
          </w:pPr>
          <w:r>
            <w:fldChar w:fldCharType="begin"/>
          </w:r>
          <w:r>
            <w:instrText xml:space="preserve"> HYPERLINK \l "_Toc90281434" </w:instrText>
          </w:r>
          <w:r>
            <w:fldChar w:fldCharType="separate"/>
          </w:r>
          <w:r>
            <w:rPr>
              <w:rStyle w:val="23"/>
              <w:rFonts w:hint="eastAsia" w:ascii="仿宋_GB2312" w:eastAsia="仿宋_GB2312"/>
              <w:sz w:val="32"/>
              <w:szCs w:val="32"/>
            </w:rPr>
            <w:t>四、组织和保障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_Toc90281434 \h </w:instrText>
          </w:r>
          <w:r>
            <w:rPr>
              <w:rFonts w:hint="eastAsia" w:ascii="仿宋_GB2312" w:eastAsia="仿宋_GB2312"/>
              <w:sz w:val="32"/>
              <w:szCs w:val="32"/>
            </w:rPr>
            <w:fldChar w:fldCharType="separate"/>
          </w:r>
          <w:r>
            <w:rPr>
              <w:rFonts w:ascii="仿宋_GB2312" w:eastAsia="仿宋_GB2312"/>
              <w:sz w:val="32"/>
              <w:szCs w:val="32"/>
            </w:rPr>
            <w:t>- 22 -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"_Toc90281435" </w:instrText>
          </w:r>
          <w:r>
            <w:fldChar w:fldCharType="separate"/>
          </w:r>
          <w:r>
            <w:rPr>
              <w:rStyle w:val="23"/>
              <w:rFonts w:hint="eastAsia" w:ascii="仿宋_GB2312" w:eastAsia="仿宋_GB2312"/>
              <w:sz w:val="32"/>
              <w:szCs w:val="32"/>
            </w:rPr>
            <w:t>（一）强化组织领导</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_Toc90281435 \h </w:instrText>
          </w:r>
          <w:r>
            <w:rPr>
              <w:rFonts w:hint="eastAsia" w:ascii="仿宋_GB2312" w:eastAsia="仿宋_GB2312"/>
              <w:sz w:val="32"/>
              <w:szCs w:val="32"/>
            </w:rPr>
            <w:fldChar w:fldCharType="separate"/>
          </w:r>
          <w:r>
            <w:rPr>
              <w:rFonts w:ascii="仿宋_GB2312" w:eastAsia="仿宋_GB2312"/>
              <w:sz w:val="32"/>
              <w:szCs w:val="32"/>
            </w:rPr>
            <w:t>- 22 -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"_Toc90281436" </w:instrText>
          </w:r>
          <w:r>
            <w:fldChar w:fldCharType="separate"/>
          </w:r>
          <w:r>
            <w:rPr>
              <w:rStyle w:val="23"/>
              <w:rFonts w:hint="eastAsia" w:ascii="仿宋_GB2312" w:eastAsia="仿宋_GB2312"/>
              <w:sz w:val="32"/>
              <w:szCs w:val="32"/>
            </w:rPr>
            <w:t>（二）加强统筹协调</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_Toc90281436 \h </w:instrText>
          </w:r>
          <w:r>
            <w:rPr>
              <w:rFonts w:hint="eastAsia" w:ascii="仿宋_GB2312" w:eastAsia="仿宋_GB2312"/>
              <w:sz w:val="32"/>
              <w:szCs w:val="32"/>
            </w:rPr>
            <w:fldChar w:fldCharType="separate"/>
          </w:r>
          <w:r>
            <w:rPr>
              <w:rFonts w:ascii="仿宋_GB2312" w:eastAsia="仿宋_GB2312"/>
              <w:sz w:val="32"/>
              <w:szCs w:val="32"/>
            </w:rPr>
            <w:t>- 22 -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"_Toc90281437" </w:instrText>
          </w:r>
          <w:r>
            <w:fldChar w:fldCharType="separate"/>
          </w:r>
          <w:r>
            <w:rPr>
              <w:rStyle w:val="23"/>
              <w:rFonts w:hint="eastAsia" w:ascii="仿宋_GB2312" w:eastAsia="仿宋_GB2312"/>
              <w:sz w:val="32"/>
              <w:szCs w:val="32"/>
            </w:rPr>
            <w:t>（三）加强规划实施评估</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_Toc90281437 \h </w:instrText>
          </w:r>
          <w:r>
            <w:rPr>
              <w:rFonts w:hint="eastAsia" w:ascii="仿宋_GB2312" w:eastAsia="仿宋_GB2312"/>
              <w:sz w:val="32"/>
              <w:szCs w:val="32"/>
            </w:rPr>
            <w:fldChar w:fldCharType="separate"/>
          </w:r>
          <w:r>
            <w:rPr>
              <w:rFonts w:ascii="仿宋_GB2312" w:eastAsia="仿宋_GB2312"/>
              <w:sz w:val="32"/>
              <w:szCs w:val="32"/>
            </w:rPr>
            <w:t>- 23 -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tabs>
              <w:tab w:val="right" w:leader="dot" w:pos="8914"/>
            </w:tabs>
            <w:rPr>
              <w:rFonts w:ascii="仿宋_GB2312" w:eastAsia="仿宋_GB2312" w:cstheme="minorBidi"/>
              <w:b w:val="0"/>
              <w:bCs w:val="0"/>
              <w:caps w:val="0"/>
              <w:sz w:val="32"/>
              <w:szCs w:val="32"/>
            </w:rPr>
          </w:pPr>
          <w:r>
            <w:fldChar w:fldCharType="begin"/>
          </w:r>
          <w:r>
            <w:instrText xml:space="preserve"> HYPERLINK \l "_Toc90281438" </w:instrText>
          </w:r>
          <w:r>
            <w:fldChar w:fldCharType="separate"/>
          </w:r>
          <w:r>
            <w:rPr>
              <w:rStyle w:val="23"/>
              <w:rFonts w:hint="eastAsia" w:ascii="仿宋_GB2312" w:eastAsia="仿宋_GB2312"/>
              <w:sz w:val="32"/>
              <w:szCs w:val="32"/>
            </w:rPr>
            <w:t>附表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_Toc90281438 \h </w:instrText>
          </w:r>
          <w:r>
            <w:rPr>
              <w:rFonts w:hint="eastAsia" w:ascii="仿宋_GB2312" w:eastAsia="仿宋_GB2312"/>
              <w:sz w:val="32"/>
              <w:szCs w:val="32"/>
            </w:rPr>
            <w:fldChar w:fldCharType="separate"/>
          </w:r>
          <w:r>
            <w:rPr>
              <w:rFonts w:ascii="仿宋_GB2312" w:eastAsia="仿宋_GB2312"/>
              <w:sz w:val="32"/>
              <w:szCs w:val="32"/>
            </w:rPr>
            <w:t>- 25 -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"_Toc90281439" </w:instrText>
          </w:r>
          <w:r>
            <w:fldChar w:fldCharType="separate"/>
          </w:r>
          <w:r>
            <w:rPr>
              <w:rStyle w:val="23"/>
              <w:rFonts w:hint="eastAsia" w:ascii="仿宋_GB2312" w:eastAsia="仿宋_GB2312"/>
              <w:sz w:val="32"/>
              <w:szCs w:val="32"/>
            </w:rPr>
            <w:t>附表1：“十四五”期间陆丰市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_Toc90281439 \h </w:instrText>
          </w:r>
          <w:r>
            <w:rPr>
              <w:rFonts w:hint="eastAsia" w:ascii="仿宋_GB2312" w:eastAsia="仿宋_GB2312"/>
              <w:sz w:val="32"/>
              <w:szCs w:val="32"/>
            </w:rPr>
            <w:fldChar w:fldCharType="separate"/>
          </w:r>
          <w:r>
            <w:rPr>
              <w:rFonts w:ascii="仿宋_GB2312" w:eastAsia="仿宋_GB2312"/>
              <w:sz w:val="32"/>
              <w:szCs w:val="32"/>
            </w:rPr>
            <w:t>- 25 -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"_Toc90281440" </w:instrText>
          </w:r>
          <w:r>
            <w:fldChar w:fldCharType="separate"/>
          </w:r>
          <w:r>
            <w:rPr>
              <w:rStyle w:val="23"/>
              <w:rFonts w:hint="eastAsia" w:ascii="仿宋_GB2312" w:eastAsia="仿宋_GB2312"/>
              <w:sz w:val="32"/>
              <w:szCs w:val="32"/>
            </w:rPr>
            <w:t>各镇公立幼儿园学位供给及建设规划情况表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_Toc90281440 \h </w:instrText>
          </w:r>
          <w:r>
            <w:rPr>
              <w:rFonts w:hint="eastAsia" w:ascii="仿宋_GB2312" w:eastAsia="仿宋_GB2312"/>
              <w:sz w:val="32"/>
              <w:szCs w:val="32"/>
            </w:rPr>
            <w:fldChar w:fldCharType="separate"/>
          </w:r>
          <w:r>
            <w:rPr>
              <w:rFonts w:ascii="仿宋_GB2312" w:eastAsia="仿宋_GB2312"/>
              <w:sz w:val="32"/>
              <w:szCs w:val="32"/>
            </w:rPr>
            <w:t>- 25 -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"_Toc90281441" </w:instrText>
          </w:r>
          <w:r>
            <w:fldChar w:fldCharType="separate"/>
          </w:r>
          <w:r>
            <w:rPr>
              <w:rStyle w:val="23"/>
              <w:rFonts w:hint="eastAsia" w:ascii="仿宋_GB2312" w:eastAsia="仿宋_GB2312"/>
              <w:sz w:val="32"/>
              <w:szCs w:val="32"/>
            </w:rPr>
            <w:t>附表2：“十四五”期间陆丰市各镇义务教育公办学位供给及建设规划情况表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_Toc90281441 \h </w:instrText>
          </w:r>
          <w:r>
            <w:rPr>
              <w:rFonts w:hint="eastAsia" w:ascii="仿宋_GB2312" w:eastAsia="仿宋_GB2312"/>
              <w:sz w:val="32"/>
              <w:szCs w:val="32"/>
            </w:rPr>
            <w:fldChar w:fldCharType="separate"/>
          </w:r>
          <w:r>
            <w:rPr>
              <w:rFonts w:ascii="仿宋_GB2312" w:eastAsia="仿宋_GB2312"/>
              <w:sz w:val="32"/>
              <w:szCs w:val="32"/>
            </w:rPr>
            <w:t>- 27 -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7"/>
            <w:tabs>
              <w:tab w:val="right" w:leader="dot" w:pos="8914"/>
            </w:tabs>
            <w:rPr>
              <w:rFonts w:ascii="仿宋_GB2312" w:eastAsia="仿宋_GB2312" w:cstheme="minorBidi"/>
              <w:smallCaps w:val="0"/>
              <w:sz w:val="32"/>
              <w:szCs w:val="32"/>
            </w:rPr>
          </w:pPr>
          <w:r>
            <w:fldChar w:fldCharType="begin"/>
          </w:r>
          <w:r>
            <w:instrText xml:space="preserve"> HYPERLINK \l "_Toc90281442" </w:instrText>
          </w:r>
          <w:r>
            <w:fldChar w:fldCharType="separate"/>
          </w:r>
          <w:r>
            <w:rPr>
              <w:rStyle w:val="23"/>
              <w:rFonts w:hint="eastAsia" w:ascii="仿宋_GB2312" w:eastAsia="仿宋_GB2312"/>
              <w:sz w:val="32"/>
              <w:szCs w:val="32"/>
            </w:rPr>
            <w:t>附表3：“十四五”期间陆丰市高中公办学位供给及建设规划表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_Toc90281442 \h </w:instrText>
          </w:r>
          <w:r>
            <w:rPr>
              <w:rFonts w:hint="eastAsia" w:ascii="仿宋_GB2312" w:eastAsia="仿宋_GB2312"/>
              <w:sz w:val="32"/>
              <w:szCs w:val="32"/>
            </w:rPr>
            <w:fldChar w:fldCharType="separate"/>
          </w:r>
          <w:r>
            <w:rPr>
              <w:rFonts w:ascii="仿宋_GB2312" w:eastAsia="仿宋_GB2312"/>
              <w:sz w:val="32"/>
              <w:szCs w:val="32"/>
            </w:rPr>
            <w:t>- 33 -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rPr>
              <w:rFonts w:ascii="仿宋_GB2312" w:eastAsia="仿宋_GB2312"/>
              <w:sz w:val="32"/>
              <w:szCs w:val="32"/>
            </w:rPr>
          </w:pPr>
          <w:r>
            <w:rPr>
              <w:rFonts w:hint="eastAsia" w:ascii="仿宋_GB2312" w:eastAsia="仿宋_GB2312"/>
              <w:b/>
              <w:bCs/>
              <w:sz w:val="32"/>
              <w:szCs w:val="32"/>
              <w:lang w:val="zh-CN"/>
            </w:rPr>
            <w:fldChar w:fldCharType="end"/>
          </w:r>
        </w:p>
      </w:sdtContent>
    </w:sdt>
    <w:p>
      <w:pPr>
        <w:widowControl/>
        <w:jc w:val="left"/>
        <w:sectPr>
          <w:footerReference r:id="rId4" w:type="default"/>
          <w:footerReference r:id="rId5" w:type="even"/>
          <w:pgSz w:w="11906" w:h="16838"/>
          <w:pgMar w:top="1440" w:right="1463" w:bottom="1440" w:left="1519" w:header="851" w:footer="992" w:gutter="0"/>
          <w:pgNumType w:fmt="lowerRoman" w:start="1"/>
          <w:cols w:space="720" w:num="1"/>
          <w:docGrid w:type="lines" w:linePitch="312" w:charSpace="0"/>
        </w:sectPr>
      </w:pPr>
      <w:r>
        <w:br w:type="page"/>
      </w:r>
    </w:p>
    <w:p>
      <w:pPr>
        <w:widowControl/>
        <w:jc w:val="left"/>
      </w:pPr>
    </w:p>
    <w:p>
      <w:pPr>
        <w:pStyle w:val="32"/>
        <w:ind w:firstLine="640" w:firstLineChars="200"/>
      </w:pPr>
      <w:r>
        <w:rPr>
          <w:rFonts w:hint="eastAsia"/>
        </w:rPr>
        <w:t>“十四五”时期是我国开启全面建设社会主义现代化国家新征程的第一个五年，也是汕尾建设沿海经济带靓丽明珠的关键时期。为建设高质量教育体系，办好人民满意的教育，实现陆丰教育高质量、跨越式发展，根据《广东省教育发展“十四五”规划》《汕尾市教育发展“十四五”规划》，结合陆丰教育工作实际，制订本规划。</w:t>
      </w:r>
    </w:p>
    <w:p>
      <w:pPr>
        <w:pStyle w:val="31"/>
        <w:spacing w:line="560" w:lineRule="exact"/>
        <w:outlineLvl w:val="0"/>
      </w:pPr>
      <w:bookmarkStart w:id="0" w:name="_Toc90281379"/>
      <w:bookmarkStart w:id="1" w:name="_Toc66660368"/>
      <w:r>
        <w:rPr>
          <w:rFonts w:hint="eastAsia"/>
        </w:rPr>
        <w:t>一、发展基础</w:t>
      </w:r>
      <w:bookmarkEnd w:id="0"/>
      <w:bookmarkEnd w:id="1"/>
    </w:p>
    <w:p>
      <w:pPr>
        <w:pStyle w:val="32"/>
      </w:pPr>
      <w:r>
        <w:rPr>
          <w:rFonts w:hint="eastAsia"/>
        </w:rPr>
        <w:t>“十三五”期间，在市委、市政府的正确领导下，全市教育系统以习近平新时代中国特色社会主义思想为指导，坚持教育优先发展战略，通过加大教育投入、推进教育重点项目建设、优化教育资源配置、扩充优质教育资源、提升教师队伍水平等措施，推动教育内涵发展，成功创建成为广东省推进教育现代化先进市。</w:t>
      </w:r>
    </w:p>
    <w:p>
      <w:pPr>
        <w:pStyle w:val="34"/>
        <w:spacing w:line="560" w:lineRule="exact"/>
        <w:outlineLvl w:val="1"/>
      </w:pPr>
      <w:bookmarkStart w:id="2" w:name="_Toc66660369"/>
      <w:bookmarkStart w:id="3" w:name="_Toc90281380"/>
      <w:r>
        <w:rPr>
          <w:rFonts w:hint="eastAsia"/>
        </w:rPr>
        <w:t>（一）全市教育</w:t>
      </w:r>
      <w:bookmarkEnd w:id="2"/>
      <w:r>
        <w:rPr>
          <w:rFonts w:hint="eastAsia"/>
        </w:rPr>
        <w:t>规模实现新增长</w:t>
      </w:r>
      <w:bookmarkEnd w:id="3"/>
    </w:p>
    <w:p>
      <w:pPr>
        <w:pStyle w:val="32"/>
      </w:pPr>
      <w:bookmarkStart w:id="4" w:name="_Toc66660370"/>
      <w:r>
        <w:rPr>
          <w:rFonts w:hint="eastAsia"/>
        </w:rPr>
        <w:t>截至20</w:t>
      </w:r>
      <w:r>
        <w:t>20</w:t>
      </w:r>
      <w:r>
        <w:rPr>
          <w:rFonts w:hint="eastAsia"/>
        </w:rPr>
        <w:t>年底，全市各级各类学校</w:t>
      </w:r>
      <w:r>
        <w:t>574</w:t>
      </w:r>
      <w:r>
        <w:rPr>
          <w:rFonts w:hint="eastAsia"/>
        </w:rPr>
        <w:t>所（含民办学校），其中：幼儿园</w:t>
      </w:r>
      <w:r>
        <w:t>170</w:t>
      </w:r>
      <w:r>
        <w:rPr>
          <w:rFonts w:hint="eastAsia"/>
        </w:rPr>
        <w:t>所，小学</w:t>
      </w:r>
      <w:r>
        <w:t>315</w:t>
      </w:r>
      <w:r>
        <w:rPr>
          <w:rFonts w:hint="eastAsia"/>
        </w:rPr>
        <w:t>所，特殊教育学校1所，九年一贯制学校</w:t>
      </w:r>
      <w:r>
        <w:t>38</w:t>
      </w:r>
      <w:r>
        <w:rPr>
          <w:rFonts w:hint="eastAsia"/>
        </w:rPr>
        <w:t>所，初级中学33所，高完中</w:t>
      </w:r>
      <w:r>
        <w:t>10</w:t>
      </w:r>
      <w:r>
        <w:rPr>
          <w:rFonts w:hint="eastAsia"/>
        </w:rPr>
        <w:t>所，十二年一贯制学校</w:t>
      </w:r>
      <w:r>
        <w:t>1所</w:t>
      </w:r>
      <w:r>
        <w:rPr>
          <w:rFonts w:hint="eastAsia"/>
        </w:rPr>
        <w:t>，职业技术学校6所。在校学生共</w:t>
      </w:r>
      <w:r>
        <w:t>252072</w:t>
      </w:r>
      <w:r>
        <w:rPr>
          <w:rFonts w:hint="eastAsia"/>
        </w:rPr>
        <w:t>人，其中：在园幼儿</w:t>
      </w:r>
      <w:r>
        <w:t>40507</w:t>
      </w:r>
      <w:r>
        <w:rPr>
          <w:rFonts w:hint="eastAsia"/>
        </w:rPr>
        <w:t>人，特殊教育学校学生</w:t>
      </w:r>
      <w:r>
        <w:t>180</w:t>
      </w:r>
      <w:r>
        <w:rPr>
          <w:rFonts w:hint="eastAsia"/>
        </w:rPr>
        <w:t>人，小学生</w:t>
      </w:r>
      <w:r>
        <w:t>128210</w:t>
      </w:r>
      <w:r>
        <w:rPr>
          <w:rFonts w:hint="eastAsia"/>
        </w:rPr>
        <w:t>人，初中生</w:t>
      </w:r>
      <w:r>
        <w:t>55287</w:t>
      </w:r>
      <w:r>
        <w:rPr>
          <w:rFonts w:hint="eastAsia"/>
        </w:rPr>
        <w:t>人，普通高中学生</w:t>
      </w:r>
      <w:r>
        <w:t>22692</w:t>
      </w:r>
      <w:r>
        <w:rPr>
          <w:rFonts w:hint="eastAsia"/>
        </w:rPr>
        <w:t>人，职业技术学校学生</w:t>
      </w:r>
      <w:r>
        <w:t>5196</w:t>
      </w:r>
      <w:r>
        <w:rPr>
          <w:rFonts w:hint="eastAsia"/>
        </w:rPr>
        <w:t>人。共有教职员工12179人，其中：幼儿园教师</w:t>
      </w:r>
      <w:r>
        <w:t>462人，小学教师6002人，初中教师3760人，普通高中教师1625人，中等职业学校教师267人，特</w:t>
      </w:r>
      <w:r>
        <w:rPr>
          <w:rFonts w:hint="eastAsia"/>
        </w:rPr>
        <w:t>殊教育教师</w:t>
      </w:r>
      <w:r>
        <w:t>63人。</w:t>
      </w:r>
    </w:p>
    <w:p>
      <w:pPr>
        <w:pStyle w:val="34"/>
        <w:spacing w:line="560" w:lineRule="exact"/>
        <w:outlineLvl w:val="1"/>
      </w:pPr>
      <w:bookmarkStart w:id="5" w:name="_Toc90281381"/>
      <w:r>
        <w:rPr>
          <w:rFonts w:hint="eastAsia"/>
        </w:rPr>
        <w:t>（二）素质教育质量提高到新水平</w:t>
      </w:r>
      <w:bookmarkEnd w:id="4"/>
      <w:bookmarkEnd w:id="5"/>
    </w:p>
    <w:p>
      <w:pPr>
        <w:pStyle w:val="32"/>
      </w:pPr>
      <w:r>
        <w:rPr>
          <w:rFonts w:hint="eastAsia"/>
        </w:rPr>
        <w:t>坚持立德树人根本任务，加强中小学生思想道德建设，建立健全符合规律有特色的中小学德育体系，大力推进市少年宫、乡村少年宫建设</w:t>
      </w:r>
      <w:r>
        <w:rPr>
          <w:rFonts w:hint="eastAsia"/>
          <w:shd w:val="clear" w:color="auto" w:fill="FFFFFF"/>
        </w:rPr>
        <w:t>。</w:t>
      </w:r>
      <w:r>
        <w:rPr>
          <w:rFonts w:hint="eastAsia"/>
        </w:rPr>
        <w:t>截至20</w:t>
      </w:r>
      <w:r>
        <w:t>20</w:t>
      </w:r>
      <w:r>
        <w:rPr>
          <w:rFonts w:hint="eastAsia"/>
        </w:rPr>
        <w:t>年底</w:t>
      </w:r>
      <w:r>
        <w:rPr>
          <w:rFonts w:hint="eastAsia"/>
          <w:shd w:val="clear" w:color="auto" w:fill="FFFFFF"/>
        </w:rPr>
        <w:t>，市少年宫竣工验收，建立乡村少年宫15个，名班主任工作室10个，60%以上学校达到省依法治校示范学校标准。增加社会自然、体育、音乐、美术等“非学业”水平质量监测内容，关注学生的身心发展水平和兴趣特长养成等方面的个性化发展，把学生学业质量监测范围延伸至整个高中阶段，有力推进素质教育全面发展。积极推进“体育艺术2+1”项目，全面开展阳光体育运动。至</w:t>
      </w:r>
      <w:r>
        <w:rPr>
          <w:shd w:val="clear" w:color="auto" w:fill="FFFFFF"/>
        </w:rPr>
        <w:t>2020</w:t>
      </w:r>
      <w:r>
        <w:rPr>
          <w:rFonts w:hint="eastAsia"/>
          <w:shd w:val="clear" w:color="auto" w:fill="FFFFFF"/>
        </w:rPr>
        <w:t>年底，全市有“国家校园足球特色学校”</w:t>
      </w:r>
      <w:r>
        <w:rPr>
          <w:shd w:val="clear" w:color="auto" w:fill="FFFFFF"/>
        </w:rPr>
        <w:t>18</w:t>
      </w:r>
      <w:r>
        <w:rPr>
          <w:rFonts w:hint="eastAsia"/>
          <w:shd w:val="clear" w:color="auto" w:fill="FFFFFF"/>
        </w:rPr>
        <w:t>所、“广东省足球推广学校”</w:t>
      </w:r>
      <w:r>
        <w:rPr>
          <w:shd w:val="clear" w:color="auto" w:fill="FFFFFF"/>
        </w:rPr>
        <w:t>22</w:t>
      </w:r>
      <w:r>
        <w:rPr>
          <w:rFonts w:hint="eastAsia"/>
          <w:shd w:val="clear" w:color="auto" w:fill="FFFFFF"/>
        </w:rPr>
        <w:t>所。</w:t>
      </w:r>
    </w:p>
    <w:p>
      <w:pPr>
        <w:pStyle w:val="34"/>
        <w:spacing w:line="560" w:lineRule="exact"/>
        <w:outlineLvl w:val="1"/>
      </w:pPr>
      <w:bookmarkStart w:id="6" w:name="_Toc66660371"/>
      <w:bookmarkStart w:id="7" w:name="_Toc90281382"/>
      <w:r>
        <w:rPr>
          <w:rFonts w:hint="eastAsia"/>
        </w:rPr>
        <w:t>（三）学前教育取得新进步</w:t>
      </w:r>
      <w:bookmarkEnd w:id="6"/>
      <w:bookmarkEnd w:id="7"/>
    </w:p>
    <w:p>
      <w:pPr>
        <w:pStyle w:val="32"/>
      </w:pPr>
      <w:r>
        <w:rPr>
          <w:rFonts w:hint="eastAsia"/>
        </w:rPr>
        <w:t>立足实际，坚持政府主导、社会参与、公民办并举，聚焦薄弱环节、精准补齐短板，推动学前教育普惠健康发展。乡镇中心幼儿园从</w:t>
      </w:r>
      <w:r>
        <w:t>2015年底的16所增至2020</w:t>
      </w:r>
      <w:r>
        <w:rPr>
          <w:rFonts w:hint="eastAsia"/>
        </w:rPr>
        <w:t>年底的</w:t>
      </w:r>
      <w:r>
        <w:t>29所，全市23个乡镇实现公立乡镇中心幼儿园全覆盖。民办幼儿园从2015年的66所发展到126所，有效地缓解全市幼儿上学的问题，至2020年全市学前三年入园率达到90.06％。</w:t>
      </w:r>
    </w:p>
    <w:p>
      <w:pPr>
        <w:pStyle w:val="34"/>
        <w:spacing w:line="560" w:lineRule="exact"/>
        <w:outlineLvl w:val="1"/>
      </w:pPr>
      <w:bookmarkStart w:id="8" w:name="_Toc90281383"/>
      <w:bookmarkStart w:id="9" w:name="_Toc66660372"/>
      <w:r>
        <w:rPr>
          <w:rFonts w:hint="eastAsia"/>
        </w:rPr>
        <w:t>（四）义务教育质量均衡双提升</w:t>
      </w:r>
      <w:bookmarkEnd w:id="8"/>
      <w:bookmarkEnd w:id="9"/>
    </w:p>
    <w:p>
      <w:pPr>
        <w:pStyle w:val="32"/>
      </w:pPr>
      <w:r>
        <w:rPr>
          <w:rFonts w:hint="eastAsia"/>
        </w:rPr>
        <w:t>积极巩固和提高教育强市及义务教育均衡发展成果，通过推进乡镇学校布局调整、义务教育学校全面改薄项目和农村义务教育薄弱环节改善与能力提升项目建设，进一步优化教育资源配置，不断完善义务教育学校办学条件。建成标准化特殊教育学校，增加特殊教育学位，让更多的残疾儿童享受接受教育的权利。通过提升教师素质，加强教学研究，开展“语文主题学习”活动，实施“北师大助力汕尾基础教育质量提升项目”，以及推行学业水平质量监测，加强对监测结果进行研究分析，提高教研教改的针对性，促进义务教育阶段教育质量的稳步提升。至2</w:t>
      </w:r>
      <w:r>
        <w:t>020</w:t>
      </w:r>
      <w:r>
        <w:rPr>
          <w:rFonts w:hint="eastAsia"/>
        </w:rPr>
        <w:t>年，全市适龄儿童少年入学率100%，小学阶段巩固为100%，初中阶段巩固率为96.32%。</w:t>
      </w:r>
    </w:p>
    <w:p>
      <w:pPr>
        <w:pStyle w:val="34"/>
        <w:spacing w:line="560" w:lineRule="exact"/>
        <w:outlineLvl w:val="1"/>
      </w:pPr>
      <w:bookmarkStart w:id="10" w:name="_Toc66660373"/>
      <w:bookmarkStart w:id="11" w:name="_Toc90281384"/>
      <w:r>
        <w:rPr>
          <w:rFonts w:hint="eastAsia"/>
        </w:rPr>
        <w:t>（五）普通高中教育扩容提质</w:t>
      </w:r>
      <w:bookmarkEnd w:id="10"/>
      <w:r>
        <w:rPr>
          <w:rFonts w:hint="eastAsia"/>
        </w:rPr>
        <w:t>取得新进展</w:t>
      </w:r>
      <w:bookmarkEnd w:id="11"/>
    </w:p>
    <w:p>
      <w:pPr>
        <w:pStyle w:val="32"/>
        <w:rPr>
          <w:b/>
          <w:u w:val="single"/>
        </w:rPr>
      </w:pPr>
      <w:r>
        <w:rPr>
          <w:rFonts w:hint="eastAsia"/>
        </w:rPr>
        <w:t>不断扩大高中优质教育资源规模，打造一批在全汕尾、甚至全省具有影响力的优质高中学校，鼓励一批市一级普通高中学校提质促优，实现办学条件标准化、学校管理规范化、办学水平优质化。实施龙山中学新校区、汕尾市普宁华美实验学校新校区等教育重点项目建设，促进全市高中教育的扩容提质。项目总投资超</w:t>
      </w:r>
      <w:r>
        <w:t>12</w:t>
      </w:r>
      <w:r>
        <w:rPr>
          <w:rFonts w:hint="eastAsia"/>
        </w:rPr>
        <w:t>亿元，新增高中学位</w:t>
      </w:r>
      <w:r>
        <w:t>8400个</w:t>
      </w:r>
      <w:r>
        <w:rPr>
          <w:rFonts w:hint="eastAsia"/>
        </w:rPr>
        <w:t>。</w:t>
      </w:r>
    </w:p>
    <w:p>
      <w:pPr>
        <w:pStyle w:val="34"/>
        <w:spacing w:line="560" w:lineRule="exact"/>
        <w:outlineLvl w:val="1"/>
      </w:pPr>
      <w:bookmarkStart w:id="12" w:name="_Toc66660374"/>
      <w:bookmarkStart w:id="13" w:name="_Toc90281385"/>
      <w:r>
        <w:rPr>
          <w:rFonts w:hint="eastAsia"/>
        </w:rPr>
        <w:t>（六）</w:t>
      </w:r>
      <w:bookmarkEnd w:id="12"/>
      <w:r>
        <w:rPr>
          <w:rFonts w:hint="eastAsia"/>
        </w:rPr>
        <w:t>中等职业教育发展取得新突破</w:t>
      </w:r>
      <w:bookmarkEnd w:id="13"/>
    </w:p>
    <w:p>
      <w:pPr>
        <w:pStyle w:val="32"/>
      </w:pPr>
      <w:r>
        <w:rPr>
          <w:rFonts w:hint="eastAsia"/>
        </w:rPr>
        <w:t>整合陆丰市职业技术学校和河图中学两校资源，“做大做强”陆丰市职业技术学校。改建碣石新安中学和甲秀中学为中职学校，填补了碣石与三甲地区中职教育的空白，初步解决了陆丰中职教育容量不足问题，为做大做强中职教育奠定坚实基础。投入1亿多元改扩建陆丰职业技术学校、碣石新安职业技术学校、甲秀职业技术学校三所职业技术学校，促进全市的中职教育整体水平进一步提升。</w:t>
      </w:r>
    </w:p>
    <w:p>
      <w:pPr>
        <w:pStyle w:val="34"/>
        <w:spacing w:line="560" w:lineRule="exact"/>
        <w:outlineLvl w:val="1"/>
      </w:pPr>
      <w:bookmarkStart w:id="14" w:name="_Toc66660375"/>
      <w:bookmarkStart w:id="15" w:name="_Toc90281386"/>
      <w:r>
        <w:rPr>
          <w:rFonts w:hint="eastAsia"/>
        </w:rPr>
        <w:t>（七）教育信息化程度不断提高</w:t>
      </w:r>
      <w:bookmarkEnd w:id="14"/>
      <w:bookmarkEnd w:id="15"/>
    </w:p>
    <w:p>
      <w:pPr>
        <w:pStyle w:val="32"/>
      </w:pPr>
      <w:r>
        <w:rPr>
          <w:rFonts w:hint="eastAsia"/>
        </w:rPr>
        <w:t>通过实施“三通两平台”“校园网”、多功能室等数字化校园硬件设施建设，全市教育信息化水平得到有效提升。至</w:t>
      </w:r>
      <w:r>
        <w:t>2020</w:t>
      </w:r>
      <w:r>
        <w:rPr>
          <w:rFonts w:hint="eastAsia"/>
        </w:rPr>
        <w:t>年，全市学校已安装“班班通”电教平台</w:t>
      </w:r>
      <w:r>
        <w:t>4467套，占比达到77.3%。</w:t>
      </w:r>
      <w:r>
        <w:rPr>
          <w:rFonts w:hint="eastAsia"/>
        </w:rPr>
        <w:t>建设校园网</w:t>
      </w:r>
      <w:r>
        <w:t>214套，占比达到51.4%。课室网络接入数4467间，占比达到77.3%。宽带光纤接入学校416所，占比达到100%。教师配备专用教学用终端10900台，占比达到72%。建成有录播教室4间、校园监控系统543套、广播系统260套、“智慧课堂”教室30间。全市教学点接入互联网率达100%</w:t>
      </w:r>
      <w:r>
        <w:rPr>
          <w:rFonts w:hint="eastAsia"/>
        </w:rPr>
        <w:t>。</w:t>
      </w:r>
    </w:p>
    <w:p>
      <w:pPr>
        <w:pStyle w:val="34"/>
        <w:spacing w:line="560" w:lineRule="exact"/>
        <w:outlineLvl w:val="1"/>
      </w:pPr>
      <w:bookmarkStart w:id="16" w:name="_Toc66660376"/>
      <w:bookmarkStart w:id="17" w:name="_Toc90281387"/>
      <w:r>
        <w:rPr>
          <w:rFonts w:hint="eastAsia"/>
        </w:rPr>
        <w:t>（八）师资队伍整体素质不断提升</w:t>
      </w:r>
      <w:bookmarkEnd w:id="16"/>
      <w:bookmarkEnd w:id="17"/>
    </w:p>
    <w:p>
      <w:pPr>
        <w:pStyle w:val="32"/>
      </w:pPr>
      <w:r>
        <w:rPr>
          <w:rFonts w:hint="eastAsia"/>
        </w:rPr>
        <w:t>通过“县管校聘”管理改革，有效地促进全市教师均衡配置。全市</w:t>
      </w:r>
      <w:r>
        <w:t>2019</w:t>
      </w:r>
      <w:r>
        <w:rPr>
          <w:rFonts w:hint="eastAsia"/>
        </w:rPr>
        <w:t>年完成公办学校超编教师及资格不达标教师分流</w:t>
      </w:r>
      <w:r>
        <w:t>2512人，其中跨镇分流1190人，分流到“三甲”地区368人、南塘134人。</w:t>
      </w:r>
      <w:r>
        <w:rPr>
          <w:rFonts w:hint="eastAsia"/>
        </w:rPr>
        <w:t>积极组织开展</w:t>
      </w:r>
      <w:r>
        <w:t>6大县级教师培训项目，全市教师继续教育完成率达98.5%。至2020年，全市已建立省级名校长工作室2个，省级名教师工作室2个，市级名教师工作室4个，县级名教师工作室13个，有效地促进了全市教师专业化发展。教师学历层次不断提升。</w:t>
      </w:r>
      <w:r>
        <w:rPr>
          <w:rFonts w:hint="eastAsia"/>
        </w:rPr>
        <w:t>全市幼儿园专任教师大专以上学历的比例达</w:t>
      </w:r>
      <w:r>
        <w:t>71.3%，小学专任教师本科以上学历的比例达50.8%，初中专任教师本科以上学历的比例达82.74%，高中和中职专任教师本科以上学历为89.57%、研究生学历占4.11%。</w:t>
      </w:r>
      <w:r>
        <w:rPr>
          <w:rFonts w:hint="eastAsia"/>
        </w:rPr>
        <w:t>积极引进高学历教育人才。“十三五”期间，全市新招新聘新引进各级各类教师629名。新建陆丰市教师发展中心，全市教科研训一体化工作稳步推进。</w:t>
      </w:r>
    </w:p>
    <w:p>
      <w:pPr>
        <w:pStyle w:val="34"/>
        <w:spacing w:line="560" w:lineRule="exact"/>
        <w:outlineLvl w:val="1"/>
      </w:pPr>
      <w:bookmarkStart w:id="18" w:name="_Toc90281388"/>
      <w:bookmarkStart w:id="19" w:name="_Toc66660377"/>
      <w:r>
        <w:rPr>
          <w:rFonts w:hint="eastAsia"/>
        </w:rPr>
        <w:t>（九）积极构建服务全民终身学习的教育体系</w:t>
      </w:r>
      <w:bookmarkEnd w:id="18"/>
      <w:bookmarkEnd w:id="19"/>
    </w:p>
    <w:p>
      <w:pPr>
        <w:pStyle w:val="32"/>
      </w:pPr>
      <w:r>
        <w:rPr>
          <w:rFonts w:hint="eastAsia"/>
        </w:rPr>
        <w:t>不断加大投入，推进市电视大学（市社区学院）等远程教育机构建设，构建面向全市的远程教育公共服务体系，并逐步完善镇级成人文化技术学校（社区学校）和村（居）学习教育站建设。至</w:t>
      </w:r>
      <w:r>
        <w:t>2020年，全市共建有市社区学院（市开放大学）1所，23个</w:t>
      </w:r>
      <w:r>
        <w:rPr>
          <w:rFonts w:hint="eastAsia"/>
        </w:rPr>
        <w:t>镇（场、区）均建有镇级社区学校。</w:t>
      </w:r>
    </w:p>
    <w:p>
      <w:pPr>
        <w:pStyle w:val="34"/>
        <w:spacing w:line="580" w:lineRule="exact"/>
        <w:outlineLvl w:val="1"/>
      </w:pPr>
      <w:bookmarkStart w:id="20" w:name="_Toc90281389"/>
      <w:bookmarkStart w:id="21" w:name="_Toc66660378"/>
      <w:r>
        <w:rPr>
          <w:rFonts w:hint="eastAsia"/>
        </w:rPr>
        <w:t>（十）教育发展面临新挑战</w:t>
      </w:r>
      <w:bookmarkEnd w:id="20"/>
      <w:bookmarkEnd w:id="21"/>
    </w:p>
    <w:p>
      <w:pPr>
        <w:pStyle w:val="32"/>
        <w:spacing w:line="580" w:lineRule="exact"/>
      </w:pPr>
      <w:r>
        <w:rPr>
          <w:rFonts w:hint="eastAsia"/>
          <w:bCs w:val="0"/>
        </w:rPr>
        <w:t>“十三五”陆丰教育发展取得一定成效，但人民日益增长的优质教育需求与发展不平衡不充分之间的矛盾仍然比较突出，优化布局、调整结构、整合资源的任务还相当繁重。城乡之间、校际之间、群体之间教育水平差距明显。全市城镇中心区学位供给紧张，农村地区“大班额”与“麻雀学校”并存，城乡一体化建设水平有待进一步提高。</w:t>
      </w:r>
      <w:r>
        <w:rPr>
          <w:rFonts w:hint="eastAsia"/>
        </w:rPr>
        <w:t>学前教育短板明显，公立幼儿园的学位需求与供给矛盾突出，中职教育办学规模偏小，层次有待提升，图书馆、学生综合实践基地等建设不足。校长和教师两支队伍整体素质不高，教师信息技术应用能力及综合素养有待提升，教育教学质量低于全市平均水平，教育信息技术与教育教学深度融合有待进一步加强。学校基础设施建设仍待加强，中小学信息化设备、教育教学资源、实验室设备设施需要进一步完善补充。实验管理人员需进一步加强。</w:t>
      </w:r>
    </w:p>
    <w:p>
      <w:pPr>
        <w:pStyle w:val="31"/>
        <w:spacing w:line="580" w:lineRule="exact"/>
        <w:outlineLvl w:val="0"/>
      </w:pPr>
      <w:bookmarkStart w:id="22" w:name="_Toc90281390"/>
      <w:bookmarkStart w:id="23" w:name="_Toc66660379"/>
      <w:r>
        <w:rPr>
          <w:rFonts w:hint="eastAsia"/>
        </w:rPr>
        <w:t>二、总体要求和发展目标</w:t>
      </w:r>
      <w:bookmarkEnd w:id="22"/>
      <w:bookmarkEnd w:id="23"/>
    </w:p>
    <w:p>
      <w:pPr>
        <w:pStyle w:val="34"/>
        <w:spacing w:line="580" w:lineRule="exact"/>
        <w:outlineLvl w:val="1"/>
      </w:pPr>
      <w:bookmarkStart w:id="24" w:name="_Toc66660380"/>
      <w:bookmarkStart w:id="25" w:name="_Toc90281391"/>
      <w:r>
        <w:rPr>
          <w:rFonts w:hint="eastAsia"/>
        </w:rPr>
        <w:t>（一）总体要求</w:t>
      </w:r>
      <w:bookmarkEnd w:id="24"/>
      <w:bookmarkEnd w:id="25"/>
    </w:p>
    <w:p>
      <w:pPr>
        <w:pStyle w:val="32"/>
        <w:spacing w:line="580" w:lineRule="exact"/>
      </w:pPr>
      <w:r>
        <w:rPr>
          <w:rFonts w:hint="eastAsia"/>
        </w:rPr>
        <w:t>以习近平新时代中国特色社会主义思想为指导，全面贯彻党的教育方针，落实立德树人根本任务，培养德智体美劳全面发展的社会主义建设者和接班人，以办好人民满意的教育为目标，紧紧围绕陆丰经济社会发展总体发展战略，全面加强党对教育工作的领导，落实教育优先发展战略，狠抓教育“补短板、强弱项、提质量”工作，扎实推动陆丰教育高质量跨越式发展，为2035年实现教育现代化打下坚实基础。</w:t>
      </w:r>
    </w:p>
    <w:p>
      <w:pPr>
        <w:pStyle w:val="32"/>
        <w:spacing w:line="580" w:lineRule="exact"/>
      </w:pPr>
    </w:p>
    <w:p>
      <w:pPr>
        <w:pStyle w:val="34"/>
        <w:spacing w:line="500" w:lineRule="exact"/>
        <w:outlineLvl w:val="1"/>
      </w:pPr>
      <w:bookmarkStart w:id="26" w:name="_Toc66660381"/>
      <w:bookmarkStart w:id="27" w:name="_Toc90281392"/>
      <w:r>
        <w:rPr>
          <w:rFonts w:hint="eastAsia"/>
        </w:rPr>
        <w:t>（二）发展目标</w:t>
      </w:r>
      <w:bookmarkEnd w:id="26"/>
      <w:bookmarkEnd w:id="27"/>
    </w:p>
    <w:p>
      <w:pPr>
        <w:pStyle w:val="36"/>
        <w:spacing w:line="500" w:lineRule="exact"/>
        <w:outlineLvl w:val="2"/>
      </w:pPr>
      <w:bookmarkStart w:id="28" w:name="_Toc66660382"/>
      <w:bookmarkStart w:id="29" w:name="_Toc90281393"/>
      <w:r>
        <w:rPr>
          <w:rFonts w:hint="eastAsia"/>
        </w:rPr>
        <w:t>1.总体目标</w:t>
      </w:r>
      <w:bookmarkEnd w:id="28"/>
      <w:bookmarkEnd w:id="29"/>
    </w:p>
    <w:p>
      <w:pPr>
        <w:pStyle w:val="32"/>
        <w:spacing w:line="500" w:lineRule="exact"/>
        <w:rPr>
          <w:b/>
          <w:u w:val="single"/>
        </w:rPr>
      </w:pPr>
      <w:r>
        <w:rPr>
          <w:rFonts w:hint="eastAsia"/>
        </w:rPr>
        <w:t>到2025年，教育现代化取得重要进展，各级各类教育实现更高水平、更有质量的发展。学前教育更加普惠，义务教育更加优质均衡，高中教育更加多样化、更具特色，职业教育产教融合、校企合作更加紧密，人民群众关心的教育热点难点问题得到有效破解，教育资源配置更加科学合理，人民群众对教育满意度不断提高，教育服务经济社会发展能力不断增强，教育发展总体水平位列汕尾前列，为陆丰经济社会实现高质量跨越式发展提供强有力的人才支撑和智力支持。</w:t>
      </w:r>
    </w:p>
    <w:p>
      <w:pPr>
        <w:pStyle w:val="36"/>
        <w:spacing w:line="500" w:lineRule="exact"/>
        <w:outlineLvl w:val="2"/>
      </w:pPr>
      <w:bookmarkStart w:id="30" w:name="_Toc66660383"/>
      <w:bookmarkStart w:id="31" w:name="_Toc90281394"/>
      <w:r>
        <w:rPr>
          <w:rFonts w:hint="eastAsia"/>
        </w:rPr>
        <w:t>2.具体目标</w:t>
      </w:r>
      <w:bookmarkEnd w:id="30"/>
      <w:bookmarkEnd w:id="31"/>
    </w:p>
    <w:p>
      <w:pPr>
        <w:pStyle w:val="32"/>
        <w:spacing w:line="500" w:lineRule="exact"/>
      </w:pPr>
      <w:r>
        <w:rPr>
          <w:rFonts w:hint="eastAsia"/>
        </w:rPr>
        <w:t>——学前教育规范普惠发展。到</w:t>
      </w:r>
      <w:r>
        <w:t>2025年，</w:t>
      </w:r>
      <w:r>
        <w:rPr>
          <w:rFonts w:hint="eastAsia"/>
        </w:rPr>
        <w:t>全市学前三年毛入园率达到98%以上，规范化幼儿园占比达到95%以上，公办园及普惠性幼儿园在园幼儿占比进一步提高，办园质量稳步提升，促进全市学前教育普及普惠发展。</w:t>
      </w:r>
    </w:p>
    <w:p>
      <w:pPr>
        <w:pStyle w:val="32"/>
        <w:spacing w:line="500" w:lineRule="exact"/>
      </w:pPr>
      <w:r>
        <w:rPr>
          <w:rFonts w:hint="eastAsia"/>
        </w:rPr>
        <w:t>——义务教育均衡优质发展。加大布局调整力度，加强义务教育优质学位供给，新改扩建一批学校，优化整合义务教育学校资源，全面消除“大班额”问题，不断增加教育优质学位。中考合格率每年提高</w:t>
      </w:r>
      <w:r>
        <w:t>5个百分点。</w:t>
      </w:r>
    </w:p>
    <w:p>
      <w:pPr>
        <w:pStyle w:val="32"/>
        <w:spacing w:line="500" w:lineRule="exact"/>
      </w:pPr>
      <w:r>
        <w:rPr>
          <w:rFonts w:hint="eastAsia"/>
        </w:rPr>
        <w:t>——普通高中办学质量稳步提升。推进普通高中优质特色发展，推进汕尾市普宁华美学校、龙山中学新校区扩容提质工程。至</w:t>
      </w:r>
      <w:r>
        <w:t>2025年，全市建成4所在人文、数理、科技、艺术、体育等方面具有一定特色的普通高中特色示范校。高考各项指标逐步提升。</w:t>
      </w:r>
    </w:p>
    <w:p>
      <w:pPr>
        <w:pStyle w:val="32"/>
        <w:spacing w:line="500" w:lineRule="exact"/>
      </w:pPr>
      <w:r>
        <w:rPr>
          <w:rFonts w:hint="eastAsia"/>
        </w:rPr>
        <w:t>——职业教育优质发展。到</w:t>
      </w:r>
      <w:r>
        <w:t>2025年，全市中</w:t>
      </w:r>
      <w:r>
        <w:rPr>
          <w:rFonts w:hint="eastAsia"/>
        </w:rPr>
        <w:t>职学校在校生力争达</w:t>
      </w:r>
      <w:r>
        <w:t>1万人，“双师型”教师比例达60%，力争将</w:t>
      </w:r>
      <w:r>
        <w:rPr>
          <w:rFonts w:hint="eastAsia"/>
        </w:rPr>
        <w:t>市二职建设成广东省高水平中职学校，市职业技术学校建设成为广东省重点中职学校。</w:t>
      </w:r>
    </w:p>
    <w:p>
      <w:pPr>
        <w:pStyle w:val="32"/>
        <w:spacing w:line="500" w:lineRule="exact"/>
      </w:pPr>
      <w:r>
        <w:rPr>
          <w:rFonts w:hint="eastAsia"/>
        </w:rPr>
        <w:t>——教师队伍整体素质明显提高。到2025年，全市幼儿园专任教师专科以上学历占83%，小学专任教师本科以上学历占</w:t>
      </w:r>
      <w:r>
        <w:t>60</w:t>
      </w:r>
      <w:r>
        <w:rPr>
          <w:rFonts w:hint="eastAsia"/>
        </w:rPr>
        <w:t>%，初中专任教师本科以上学历占9</w:t>
      </w:r>
      <w:r>
        <w:t>3</w:t>
      </w:r>
      <w:r>
        <w:rPr>
          <w:rFonts w:hint="eastAsia"/>
        </w:rPr>
        <w:t>%，高中（中职）专任教师研究生以上学历占14%。广大教师师德修养和教育教学能力有较大提高，为全市教育高质量发展提供有力的师资支撑。</w:t>
      </w:r>
    </w:p>
    <w:p>
      <w:pPr>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——加快推进教育信息化建设。到</w:t>
      </w:r>
      <w:r>
        <w:rPr>
          <w:rFonts w:ascii="仿宋_GB2312" w:hAnsi="仿宋" w:eastAsia="仿宋_GB2312" w:cs="仿宋"/>
          <w:bCs/>
          <w:sz w:val="32"/>
          <w:szCs w:val="32"/>
        </w:rPr>
        <w:t>2025年，完善全市中小学（幼儿园）“三通两平台”和智慧校园</w:t>
      </w:r>
      <w:r>
        <w:rPr>
          <w:rFonts w:hint="eastAsia" w:ascii="仿宋_GB2312" w:hAnsi="仿宋" w:eastAsia="仿宋_GB2312" w:cs="仿宋"/>
          <w:bCs/>
          <w:sz w:val="32"/>
          <w:szCs w:val="32"/>
        </w:rPr>
        <w:t>配套。建设陆丰市中小学教育教学资源平台和</w:t>
      </w:r>
      <w:r>
        <w:rPr>
          <w:rFonts w:ascii="仿宋_GB2312" w:hAnsi="仿宋" w:eastAsia="仿宋_GB2312" w:cs="仿宋"/>
          <w:bCs/>
          <w:sz w:val="32"/>
          <w:szCs w:val="32"/>
        </w:rPr>
        <w:t>完善</w:t>
      </w:r>
      <w:r>
        <w:rPr>
          <w:rFonts w:hint="eastAsia" w:ascii="仿宋_GB2312" w:hAnsi="仿宋" w:eastAsia="仿宋_GB2312" w:cs="仿宋"/>
          <w:bCs/>
          <w:sz w:val="32"/>
          <w:szCs w:val="32"/>
        </w:rPr>
        <w:t>校园网络提升工程。全市中小学（幼儿园）实验室、功能室和各种仪器设备设施配套，满足国家课程教育、教学的需要。全市中小学校信息化基础设施基本完备，现代教育治理水平进一步提升。</w:t>
      </w:r>
    </w:p>
    <w:p>
      <w:pPr>
        <w:pStyle w:val="32"/>
        <w:spacing w:line="500" w:lineRule="exact"/>
      </w:pPr>
      <w:r>
        <w:rPr>
          <w:rFonts w:hint="eastAsia"/>
        </w:rPr>
        <w:t>——推进终身教育体系建设。积极推进社区教育基地和学习型社会建设。2025年，全市接受社区教育服务的社区成员占全体成员比例达50%以上。</w:t>
      </w:r>
    </w:p>
    <w:p>
      <w:pPr>
        <w:pStyle w:val="36"/>
        <w:spacing w:line="560" w:lineRule="exact"/>
        <w:outlineLvl w:val="2"/>
      </w:pPr>
      <w:bookmarkStart w:id="32" w:name="_Toc90281395"/>
      <w:bookmarkStart w:id="33" w:name="_Toc66660384"/>
      <w:bookmarkStart w:id="34" w:name="_Toc66622246"/>
      <w:r>
        <w:rPr>
          <w:rFonts w:hint="eastAsia"/>
        </w:rPr>
        <w:t>3</w:t>
      </w:r>
      <w:r>
        <w:t>.</w:t>
      </w:r>
      <w:r>
        <w:rPr>
          <w:rFonts w:hint="eastAsia"/>
        </w:rPr>
        <w:t>主要发展指标</w:t>
      </w:r>
      <w:bookmarkEnd w:id="32"/>
      <w:bookmarkEnd w:id="33"/>
      <w:bookmarkEnd w:id="34"/>
    </w:p>
    <w:p>
      <w:pPr>
        <w:pStyle w:val="5"/>
        <w:spacing w:before="100" w:beforeAutospacing="1" w:after="100" w:afterAutospacing="1" w:line="560" w:lineRule="exact"/>
        <w:jc w:val="center"/>
        <w:rPr>
          <w:rFonts w:ascii="楷体_GB2312" w:hAnsi="楷体" w:eastAsia="楷体_GB2312" w:cs="楷体"/>
          <w:b w:val="0"/>
          <w:bCs w:val="0"/>
          <w:sz w:val="30"/>
          <w:szCs w:val="30"/>
        </w:rPr>
      </w:pPr>
      <w:bookmarkStart w:id="35" w:name="_Toc90281396"/>
      <w:r>
        <w:rPr>
          <w:rFonts w:hint="eastAsia" w:ascii="楷体_GB2312" w:hAnsi="楷体" w:eastAsia="楷体_GB2312" w:cs="楷体"/>
          <w:b w:val="0"/>
          <w:bCs w:val="0"/>
          <w:sz w:val="30"/>
          <w:szCs w:val="30"/>
        </w:rPr>
        <w:t>表1  陆丰</w:t>
      </w:r>
      <w:r>
        <w:rPr>
          <w:rFonts w:hint="eastAsia" w:ascii="楷体_GB2312" w:hAnsi="楷体" w:eastAsia="楷体_GB2312" w:cs="楷体"/>
          <w:b w:val="0"/>
          <w:bCs w:val="0"/>
          <w:color w:val="000000"/>
          <w:sz w:val="30"/>
          <w:szCs w:val="30"/>
        </w:rPr>
        <w:t>教育发展</w:t>
      </w:r>
      <w:r>
        <w:rPr>
          <w:rFonts w:hint="eastAsia" w:ascii="楷体_GB2312" w:hAnsi="楷体" w:eastAsia="楷体_GB2312" w:cs="楷体"/>
          <w:b w:val="0"/>
          <w:bCs w:val="0"/>
          <w:sz w:val="30"/>
          <w:szCs w:val="30"/>
        </w:rPr>
        <w:t>“十四五”主要指标</w:t>
      </w:r>
      <w:bookmarkEnd w:id="35"/>
    </w:p>
    <w:tbl>
      <w:tblPr>
        <w:tblStyle w:val="20"/>
        <w:tblW w:w="8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612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490" w:type="dxa"/>
            <w:gridSpan w:val="2"/>
            <w:shd w:val="clear" w:color="auto" w:fill="D8D8D8" w:themeFill="background1" w:themeFillShade="D9"/>
            <w:vAlign w:val="center"/>
          </w:tcPr>
          <w:p>
            <w:pPr>
              <w:adjustRightInd w:val="0"/>
              <w:snapToGrid w:val="0"/>
              <w:spacing w:line="240" w:lineRule="atLeast"/>
              <w:jc w:val="center"/>
              <w:rPr>
                <w:rFonts w:ascii="宋体" w:hAnsi="宋体"/>
                <w:b/>
                <w:bCs/>
                <w:sz w:val="24"/>
              </w:rPr>
            </w:pPr>
            <w:r>
              <w:rPr>
                <w:rFonts w:hint="eastAsia" w:ascii="宋体" w:hAnsi="宋体"/>
                <w:b/>
                <w:bCs/>
                <w:kern w:val="0"/>
                <w:sz w:val="24"/>
              </w:rPr>
              <w:t>主要</w:t>
            </w:r>
            <w:r>
              <w:rPr>
                <w:rFonts w:ascii="宋体" w:hAnsi="宋体"/>
                <w:b/>
                <w:bCs/>
                <w:kern w:val="0"/>
                <w:sz w:val="24"/>
              </w:rPr>
              <w:t>指标</w:t>
            </w:r>
          </w:p>
        </w:tc>
        <w:tc>
          <w:tcPr>
            <w:tcW w:w="1269" w:type="dxa"/>
            <w:shd w:val="clear" w:color="auto" w:fill="D8D8D8" w:themeFill="background1" w:themeFillShade="D9"/>
            <w:vAlign w:val="center"/>
          </w:tcPr>
          <w:p>
            <w:pPr>
              <w:adjustRightInd w:val="0"/>
              <w:snapToGrid w:val="0"/>
              <w:spacing w:line="240" w:lineRule="atLeast"/>
              <w:jc w:val="center"/>
              <w:rPr>
                <w:rFonts w:ascii="宋体" w:hAnsi="宋体"/>
                <w:b/>
                <w:bCs/>
                <w:sz w:val="24"/>
              </w:rPr>
            </w:pPr>
            <w:r>
              <w:rPr>
                <w:rFonts w:ascii="宋体" w:hAnsi="宋体"/>
                <w:b/>
                <w:bCs/>
                <w:kern w:val="0"/>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restart"/>
            <w:vAlign w:val="center"/>
          </w:tcPr>
          <w:p>
            <w:pPr>
              <w:adjustRightInd w:val="0"/>
              <w:snapToGrid w:val="0"/>
              <w:spacing w:line="240" w:lineRule="atLeast"/>
              <w:jc w:val="center"/>
              <w:rPr>
                <w:rFonts w:ascii="宋体" w:hAnsi="宋体"/>
                <w:bCs/>
                <w:kern w:val="0"/>
                <w:sz w:val="24"/>
              </w:rPr>
            </w:pPr>
            <w:r>
              <w:rPr>
                <w:rFonts w:hint="eastAsia" w:ascii="宋体" w:hAnsi="宋体"/>
                <w:bCs/>
                <w:kern w:val="0"/>
                <w:sz w:val="24"/>
              </w:rPr>
              <w:t>学前教育</w:t>
            </w:r>
          </w:p>
        </w:tc>
        <w:tc>
          <w:tcPr>
            <w:tcW w:w="6124" w:type="dxa"/>
            <w:vAlign w:val="center"/>
          </w:tcPr>
          <w:p>
            <w:pPr>
              <w:adjustRightInd w:val="0"/>
              <w:snapToGrid w:val="0"/>
              <w:spacing w:line="240" w:lineRule="atLeast"/>
              <w:rPr>
                <w:rFonts w:ascii="宋体" w:hAnsi="宋体"/>
                <w:bCs/>
                <w:sz w:val="24"/>
              </w:rPr>
            </w:pPr>
            <w:r>
              <w:rPr>
                <w:rFonts w:ascii="宋体" w:hAnsi="宋体"/>
                <w:bCs/>
                <w:kern w:val="0"/>
                <w:sz w:val="24"/>
              </w:rPr>
              <w:t>学前教育毛入园率（%）</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幼儿园专任教师专科以上学历比例</w:t>
            </w:r>
            <w:r>
              <w:rPr>
                <w:rFonts w:ascii="宋体" w:hAnsi="宋体"/>
                <w:bCs/>
                <w:kern w:val="0"/>
                <w:sz w:val="24"/>
              </w:rPr>
              <w:t>（%）</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restart"/>
            <w:vAlign w:val="center"/>
          </w:tcPr>
          <w:p>
            <w:pPr>
              <w:adjustRightInd w:val="0"/>
              <w:snapToGrid w:val="0"/>
              <w:spacing w:line="240" w:lineRule="atLeast"/>
              <w:jc w:val="center"/>
              <w:rPr>
                <w:rFonts w:ascii="宋体" w:hAnsi="宋体"/>
                <w:bCs/>
                <w:kern w:val="0"/>
                <w:sz w:val="24"/>
              </w:rPr>
            </w:pPr>
            <w:r>
              <w:rPr>
                <w:rFonts w:hint="eastAsia" w:ascii="宋体" w:hAnsi="宋体"/>
                <w:bCs/>
                <w:kern w:val="0"/>
                <w:sz w:val="24"/>
              </w:rPr>
              <w:t>九年义务教育</w:t>
            </w:r>
          </w:p>
        </w:tc>
        <w:tc>
          <w:tcPr>
            <w:tcW w:w="6124" w:type="dxa"/>
            <w:vAlign w:val="center"/>
          </w:tcPr>
          <w:p>
            <w:pPr>
              <w:adjustRightInd w:val="0"/>
              <w:snapToGrid w:val="0"/>
              <w:spacing w:line="240" w:lineRule="atLeast"/>
              <w:rPr>
                <w:rFonts w:ascii="宋体" w:hAnsi="宋体"/>
                <w:bCs/>
                <w:kern w:val="0"/>
                <w:sz w:val="24"/>
              </w:rPr>
            </w:pPr>
            <w:r>
              <w:rPr>
                <w:rFonts w:ascii="宋体" w:hAnsi="宋体"/>
                <w:bCs/>
                <w:kern w:val="0"/>
                <w:sz w:val="24"/>
              </w:rPr>
              <w:t>小学适龄儿童入学率（%）</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kern w:val="0"/>
                <w:sz w:val="24"/>
              </w:rPr>
            </w:pPr>
            <w:r>
              <w:rPr>
                <w:rFonts w:ascii="宋体" w:hAnsi="宋体"/>
                <w:bCs/>
                <w:kern w:val="0"/>
                <w:sz w:val="24"/>
              </w:rPr>
              <w:t>九年义务教育巩固率（%）</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sz w:val="24"/>
              </w:rPr>
            </w:pPr>
            <w:r>
              <w:rPr>
                <w:rFonts w:ascii="宋体" w:hAnsi="宋体"/>
                <w:bCs/>
                <w:kern w:val="0"/>
                <w:sz w:val="24"/>
              </w:rPr>
              <w:t>残疾儿童少年义务教育入学率（%）</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小学专任教师</w:t>
            </w:r>
            <w:r>
              <w:rPr>
                <w:rFonts w:ascii="宋体" w:hAnsi="宋体"/>
                <w:bCs/>
                <w:kern w:val="0"/>
                <w:sz w:val="24"/>
              </w:rPr>
              <w:t>本科以上学历比例（%）</w:t>
            </w:r>
          </w:p>
        </w:tc>
        <w:tc>
          <w:tcPr>
            <w:tcW w:w="1269" w:type="dxa"/>
            <w:vAlign w:val="center"/>
          </w:tcPr>
          <w:p>
            <w:pPr>
              <w:adjustRightInd w:val="0"/>
              <w:snapToGrid w:val="0"/>
              <w:spacing w:line="240" w:lineRule="atLeast"/>
              <w:jc w:val="center"/>
              <w:rPr>
                <w:rFonts w:ascii="宋体" w:hAnsi="宋体"/>
                <w:bCs/>
                <w:kern w:val="0"/>
                <w:sz w:val="24"/>
              </w:rPr>
            </w:pPr>
            <w:r>
              <w:rPr>
                <w:rFonts w:ascii="宋体" w:hAnsi="宋体"/>
                <w:bCs/>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初中专任教师</w:t>
            </w:r>
            <w:r>
              <w:rPr>
                <w:rFonts w:ascii="宋体" w:hAnsi="宋体"/>
                <w:bCs/>
                <w:kern w:val="0"/>
                <w:sz w:val="24"/>
              </w:rPr>
              <w:t>本科以上学历比例（%）</w:t>
            </w:r>
          </w:p>
        </w:tc>
        <w:tc>
          <w:tcPr>
            <w:tcW w:w="1269" w:type="dxa"/>
            <w:vAlign w:val="center"/>
          </w:tcPr>
          <w:p>
            <w:pPr>
              <w:adjustRightInd w:val="0"/>
              <w:snapToGrid w:val="0"/>
              <w:spacing w:line="240" w:lineRule="atLeast"/>
              <w:jc w:val="center"/>
              <w:rPr>
                <w:rFonts w:ascii="宋体" w:hAnsi="宋体"/>
                <w:bCs/>
                <w:kern w:val="0"/>
                <w:sz w:val="24"/>
              </w:rPr>
            </w:pPr>
            <w:r>
              <w:rPr>
                <w:rFonts w:ascii="宋体" w:hAnsi="宋体"/>
                <w:bCs/>
                <w:kern w:val="0"/>
                <w:sz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restart"/>
            <w:vAlign w:val="center"/>
          </w:tcPr>
          <w:p>
            <w:pPr>
              <w:adjustRightInd w:val="0"/>
              <w:snapToGrid w:val="0"/>
              <w:spacing w:line="240" w:lineRule="atLeast"/>
              <w:jc w:val="center"/>
              <w:rPr>
                <w:rFonts w:ascii="宋体" w:hAnsi="宋体"/>
                <w:bCs/>
                <w:kern w:val="0"/>
                <w:sz w:val="24"/>
              </w:rPr>
            </w:pPr>
            <w:r>
              <w:rPr>
                <w:rFonts w:hint="eastAsia" w:ascii="宋体" w:hAnsi="宋体"/>
                <w:bCs/>
                <w:kern w:val="0"/>
                <w:sz w:val="24"/>
              </w:rPr>
              <w:t>高中阶段教育</w:t>
            </w: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高中阶段</w:t>
            </w:r>
            <w:r>
              <w:rPr>
                <w:rFonts w:ascii="宋体" w:hAnsi="宋体"/>
                <w:bCs/>
                <w:kern w:val="0"/>
                <w:sz w:val="24"/>
              </w:rPr>
              <w:t>毛入学率（%）</w:t>
            </w:r>
          </w:p>
        </w:tc>
        <w:tc>
          <w:tcPr>
            <w:tcW w:w="1269" w:type="dxa"/>
            <w:vAlign w:val="center"/>
          </w:tcPr>
          <w:p>
            <w:pPr>
              <w:adjustRightInd w:val="0"/>
              <w:snapToGrid w:val="0"/>
              <w:spacing w:line="240" w:lineRule="atLeast"/>
              <w:jc w:val="center"/>
              <w:rPr>
                <w:rFonts w:ascii="宋体" w:hAnsi="宋体"/>
                <w:bCs/>
                <w:kern w:val="0"/>
                <w:sz w:val="24"/>
              </w:rPr>
            </w:pPr>
            <w:r>
              <w:rPr>
                <w:rFonts w:ascii="宋体" w:hAnsi="宋体"/>
                <w:bCs/>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Merge w:val="continue"/>
            <w:vAlign w:val="center"/>
          </w:tcPr>
          <w:p>
            <w:pPr>
              <w:adjustRightInd w:val="0"/>
              <w:snapToGrid w:val="0"/>
              <w:spacing w:line="240" w:lineRule="atLeast"/>
              <w:jc w:val="center"/>
              <w:rPr>
                <w:rFonts w:ascii="宋体" w:hAnsi="宋体"/>
                <w:bCs/>
                <w:kern w:val="0"/>
                <w:sz w:val="24"/>
              </w:rPr>
            </w:pP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高中教师硕士研究生以上学历比例（</w:t>
            </w:r>
            <w:r>
              <w:rPr>
                <w:rFonts w:ascii="宋体" w:hAnsi="宋体"/>
                <w:bCs/>
                <w:kern w:val="0"/>
                <w:sz w:val="24"/>
              </w:rPr>
              <w:t>%）</w:t>
            </w:r>
          </w:p>
        </w:tc>
        <w:tc>
          <w:tcPr>
            <w:tcW w:w="1269" w:type="dxa"/>
            <w:vAlign w:val="center"/>
          </w:tcPr>
          <w:p>
            <w:pPr>
              <w:adjustRightInd w:val="0"/>
              <w:snapToGrid w:val="0"/>
              <w:spacing w:line="240" w:lineRule="atLeast"/>
              <w:jc w:val="center"/>
              <w:rPr>
                <w:rFonts w:ascii="宋体" w:hAnsi="宋体"/>
                <w:bCs/>
                <w:kern w:val="0"/>
                <w:sz w:val="24"/>
              </w:rPr>
            </w:pPr>
            <w:r>
              <w:rPr>
                <w:rFonts w:ascii="宋体" w:hAnsi="宋体"/>
                <w:bCs/>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6" w:type="dxa"/>
            <w:vAlign w:val="center"/>
          </w:tcPr>
          <w:p>
            <w:pPr>
              <w:adjustRightInd w:val="0"/>
              <w:snapToGrid w:val="0"/>
              <w:spacing w:line="240" w:lineRule="atLeast"/>
              <w:jc w:val="center"/>
              <w:rPr>
                <w:rFonts w:ascii="宋体" w:hAnsi="宋体"/>
                <w:bCs/>
                <w:kern w:val="0"/>
                <w:sz w:val="24"/>
              </w:rPr>
            </w:pPr>
            <w:r>
              <w:rPr>
                <w:rFonts w:hint="eastAsia" w:ascii="宋体" w:hAnsi="宋体"/>
                <w:bCs/>
                <w:kern w:val="0"/>
                <w:sz w:val="24"/>
              </w:rPr>
              <w:t>继续教育</w:t>
            </w:r>
          </w:p>
        </w:tc>
        <w:tc>
          <w:tcPr>
            <w:tcW w:w="6124" w:type="dxa"/>
            <w:vAlign w:val="center"/>
          </w:tcPr>
          <w:p>
            <w:pPr>
              <w:adjustRightInd w:val="0"/>
              <w:snapToGrid w:val="0"/>
              <w:spacing w:line="240" w:lineRule="atLeast"/>
              <w:rPr>
                <w:rFonts w:ascii="宋体" w:hAnsi="宋体"/>
                <w:bCs/>
                <w:kern w:val="0"/>
                <w:sz w:val="24"/>
              </w:rPr>
            </w:pPr>
            <w:r>
              <w:rPr>
                <w:rFonts w:hint="eastAsia" w:ascii="宋体" w:hAnsi="宋体"/>
                <w:bCs/>
                <w:kern w:val="0"/>
                <w:sz w:val="24"/>
              </w:rPr>
              <w:t>全市接受社区教育服务的社区成员占全体成员比例（</w:t>
            </w:r>
            <w:r>
              <w:rPr>
                <w:rFonts w:ascii="宋体" w:hAnsi="宋体"/>
                <w:bCs/>
                <w:kern w:val="0"/>
                <w:sz w:val="24"/>
              </w:rPr>
              <w:t>%）</w:t>
            </w:r>
          </w:p>
        </w:tc>
        <w:tc>
          <w:tcPr>
            <w:tcW w:w="1269" w:type="dxa"/>
            <w:vAlign w:val="center"/>
          </w:tcPr>
          <w:p>
            <w:pPr>
              <w:adjustRightInd w:val="0"/>
              <w:snapToGrid w:val="0"/>
              <w:spacing w:line="240" w:lineRule="atLeast"/>
              <w:jc w:val="center"/>
              <w:rPr>
                <w:rFonts w:ascii="宋体" w:hAnsi="宋体"/>
                <w:bCs/>
                <w:sz w:val="24"/>
              </w:rPr>
            </w:pPr>
            <w:r>
              <w:rPr>
                <w:rFonts w:ascii="宋体" w:hAnsi="宋体"/>
                <w:bCs/>
                <w:sz w:val="24"/>
              </w:rPr>
              <w:t>50</w:t>
            </w:r>
          </w:p>
        </w:tc>
      </w:tr>
    </w:tbl>
    <w:p>
      <w:pPr>
        <w:pStyle w:val="31"/>
        <w:spacing w:line="540" w:lineRule="exact"/>
        <w:outlineLvl w:val="0"/>
      </w:pPr>
      <w:bookmarkStart w:id="36" w:name="_Toc66660385"/>
      <w:bookmarkStart w:id="37" w:name="_Toc90281397"/>
      <w:r>
        <w:rPr>
          <w:rFonts w:hint="eastAsia"/>
        </w:rPr>
        <w:t>三、主要任务及措施</w:t>
      </w:r>
      <w:bookmarkEnd w:id="36"/>
      <w:bookmarkEnd w:id="37"/>
    </w:p>
    <w:p>
      <w:pPr>
        <w:pStyle w:val="34"/>
        <w:spacing w:line="540" w:lineRule="exact"/>
        <w:ind w:firstLine="643" w:firstLineChars="200"/>
        <w:outlineLvl w:val="1"/>
      </w:pPr>
      <w:bookmarkStart w:id="38" w:name="_Toc66660386"/>
      <w:bookmarkStart w:id="39" w:name="_Toc90281398"/>
      <w:r>
        <w:rPr>
          <w:rFonts w:hint="eastAsia"/>
        </w:rPr>
        <w:t>（一）实施党建引领工程</w:t>
      </w:r>
      <w:bookmarkEnd w:id="38"/>
      <w:bookmarkEnd w:id="39"/>
    </w:p>
    <w:p>
      <w:pPr>
        <w:pStyle w:val="36"/>
        <w:spacing w:line="540" w:lineRule="exact"/>
        <w:outlineLvl w:val="2"/>
        <w:rPr>
          <w:b w:val="0"/>
          <w:bCs w:val="0"/>
        </w:rPr>
      </w:pPr>
      <w:bookmarkStart w:id="40" w:name="_Toc90281399"/>
      <w:r>
        <w:t>1.</w:t>
      </w:r>
      <w:r>
        <w:rPr>
          <w:rFonts w:hint="eastAsia"/>
        </w:rPr>
        <w:t>加强党对教育工作的全面领导</w:t>
      </w:r>
      <w:bookmarkEnd w:id="40"/>
    </w:p>
    <w:p>
      <w:pPr>
        <w:pStyle w:val="32"/>
        <w:spacing w:line="540" w:lineRule="exact"/>
        <w:ind w:firstLine="640" w:firstLineChars="200"/>
        <w:rPr>
          <w:bCs w:val="0"/>
        </w:rPr>
      </w:pPr>
      <w:r>
        <w:rPr>
          <w:rFonts w:hint="eastAsia"/>
        </w:rPr>
        <w:t>完善党对教育工作全面领导的体制机制，推进中小学党组织领导的校长负责制改革，强化民办学校党组织政治功能，建立健全全市教育系统党建工作汇报制度。推动落实全市教育系统党的建设、意识形态、人才队伍建设、党风廉政建设等工作。优化基层组织设置，推动党组织全面覆盖。深化党建人才培养机制，配备党务工作者，选优配强学校党组织书记，充分发挥学校党组织的战斗堡垒作用和党员教师的先锋模范作用，切实加强党对教育工作的全面领导。</w:t>
      </w:r>
    </w:p>
    <w:p>
      <w:pPr>
        <w:pStyle w:val="36"/>
        <w:spacing w:line="540" w:lineRule="exact"/>
        <w:outlineLvl w:val="2"/>
        <w:rPr>
          <w:b w:val="0"/>
          <w:bCs w:val="0"/>
        </w:rPr>
      </w:pPr>
      <w:bookmarkStart w:id="41" w:name="_Toc90281400"/>
      <w:r>
        <w:t>2.</w:t>
      </w:r>
      <w:r>
        <w:rPr>
          <w:rFonts w:hint="eastAsia"/>
        </w:rPr>
        <w:t>推动党建创新引领教育创优发展</w:t>
      </w:r>
      <w:bookmarkEnd w:id="41"/>
    </w:p>
    <w:p>
      <w:pPr>
        <w:pStyle w:val="32"/>
        <w:spacing w:line="540" w:lineRule="exact"/>
        <w:ind w:firstLine="640" w:firstLineChars="200"/>
      </w:pPr>
      <w:r>
        <w:rPr>
          <w:rFonts w:hint="eastAsia"/>
        </w:rPr>
        <w:t>以办人民满意教育为初心使命，以党建统领教育事业发展，实施“党建+”工程，激发教育系统各级党员干部的凝聚力、向心力和执行力，实现党建工作与教育教学工作的深度融合、同频共振。围绕立德树人、学校发展、教育质量、师德师风抓党建，突出党建核心引领作用，为教育事业改革发展保证方向、提供动力。全力推进党建工作与学校的整体改革发展相融合，与教育教学质量提升相融合，与立德树人相融合，与师德师风建设相融合，与服务师生发展相融合。党建+教育教学，将党建工作与教育教学密切结合，使党建成为促进学校发展的“红色引擎”，筑强“红色堡垒”。党建+队伍建设，发挥党员先锋模范作用。创建党建示范校，发挥典型示范引领作用，以党的高质量建设推动陆丰教育事业高质量发展。</w:t>
      </w:r>
    </w:p>
    <w:p>
      <w:pPr>
        <w:pStyle w:val="32"/>
        <w:spacing w:line="540" w:lineRule="exact"/>
        <w:ind w:firstLine="640" w:firstLineChars="200"/>
      </w:pPr>
    </w:p>
    <w:p>
      <w:pPr>
        <w:pStyle w:val="34"/>
        <w:spacing w:line="520" w:lineRule="exact"/>
        <w:ind w:firstLine="643" w:firstLineChars="200"/>
        <w:outlineLvl w:val="1"/>
      </w:pPr>
      <w:bookmarkStart w:id="42" w:name="_Toc66660389"/>
      <w:bookmarkStart w:id="43" w:name="_Toc90281401"/>
      <w:r>
        <w:rPr>
          <w:rFonts w:hint="eastAsia"/>
        </w:rPr>
        <w:t>（二）实施学前教育普惠发展工程</w:t>
      </w:r>
      <w:bookmarkEnd w:id="42"/>
      <w:bookmarkEnd w:id="43"/>
    </w:p>
    <w:p>
      <w:pPr>
        <w:pStyle w:val="36"/>
        <w:spacing w:line="520" w:lineRule="exact"/>
        <w:outlineLvl w:val="2"/>
      </w:pPr>
      <w:bookmarkStart w:id="44" w:name="_Toc66660390"/>
      <w:bookmarkStart w:id="45" w:name="_Toc90281402"/>
      <w:r>
        <w:rPr>
          <w:rFonts w:hint="eastAsia"/>
        </w:rPr>
        <w:t>1</w:t>
      </w:r>
      <w:r>
        <w:t>.</w:t>
      </w:r>
      <w:r>
        <w:rPr>
          <w:rFonts w:hint="eastAsia"/>
        </w:rPr>
        <w:t>扩大普惠性学前教育资源</w:t>
      </w:r>
      <w:bookmarkEnd w:id="44"/>
      <w:bookmarkEnd w:id="45"/>
    </w:p>
    <w:p>
      <w:pPr>
        <w:pStyle w:val="32"/>
        <w:spacing w:line="520" w:lineRule="exact"/>
        <w:ind w:firstLine="640" w:firstLineChars="200"/>
      </w:pPr>
      <w:r>
        <w:rPr>
          <w:rFonts w:hint="eastAsia"/>
        </w:rPr>
        <w:t>加大公办幼儿园及普惠性民办幼儿园资金投入力度，积极采取公办幼儿园新改扩建、扩班增容和认定扶持普惠性民办幼儿园等措施扩大普惠性学前教育资源。高度重视幼儿园建设用地问题，通过购买、迁建、改造等方式腾出老城区教育用地，优先规划好新城区教育用地，坚持做到城镇小区配套幼儿园与居民住宅项目同步规划、同步建设、同步交付使用，主动提出小区配建幼儿园学位和建设规模，建设后整体移交政府。到</w:t>
      </w:r>
      <w:r>
        <w:t>2021年，完成改扩建52所公办幼儿园建设，新增约12600个公办学位，实现公办园在园幼儿占比达到50%，普惠性幼儿园覆盖率达到80%以上的攻坚目标。大力推进市行政新区中心幼儿园、碣石镇中心幼儿园、甲东工业园区配套幼儿园建设。到2022年，全市学前三年毛入园率、公办园及普惠性幼儿园在园幼儿占比进一步提高。2022年-2025年，继续大力推进市行政新区中心幼儿园、碣石镇中心幼儿园、甲东工业园区配套幼儿园及常住人口4000人以上行政村配套幼儿园建设，新建45所公办幼儿园，</w:t>
      </w:r>
      <w:r>
        <w:rPr>
          <w:rFonts w:hint="eastAsia"/>
        </w:rPr>
        <w:t>常住人口</w:t>
      </w:r>
      <w:r>
        <w:t>4000人以上行政村至少建设一所规范化普惠性幼儿园，</w:t>
      </w:r>
      <w:r>
        <w:rPr>
          <w:rFonts w:hint="eastAsia"/>
        </w:rPr>
        <w:t>新增公办学位</w:t>
      </w:r>
      <w:r>
        <w:t>9970个，基本实现常住人口4000人以上行政村规范化普惠性幼儿园全覆盖，全市学前三年毛入园率达到98%以上。</w:t>
      </w:r>
      <w:r>
        <w:rPr>
          <w:rFonts w:hint="eastAsia"/>
        </w:rPr>
        <w:t>到</w:t>
      </w:r>
      <w:r>
        <w:t>2025年底，全</w:t>
      </w:r>
      <w:r>
        <w:rPr>
          <w:rFonts w:hint="eastAsia"/>
        </w:rPr>
        <w:t>面提升学前教育保教质量，为实现全市学前教育普及普惠打下坚实的基础。</w:t>
      </w:r>
    </w:p>
    <w:p>
      <w:pPr>
        <w:pStyle w:val="36"/>
        <w:spacing w:line="520" w:lineRule="exact"/>
        <w:outlineLvl w:val="2"/>
      </w:pPr>
      <w:bookmarkStart w:id="46" w:name="_Toc66660391"/>
      <w:bookmarkStart w:id="47" w:name="_Toc90281403"/>
      <w:r>
        <w:rPr>
          <w:rFonts w:hint="eastAsia"/>
        </w:rPr>
        <w:t>2</w:t>
      </w:r>
      <w:r>
        <w:t>.</w:t>
      </w:r>
      <w:r>
        <w:rPr>
          <w:rFonts w:hint="eastAsia"/>
        </w:rPr>
        <w:t>促进学前教育安全优质发展</w:t>
      </w:r>
      <w:bookmarkEnd w:id="46"/>
      <w:bookmarkEnd w:id="47"/>
    </w:p>
    <w:p>
      <w:pPr>
        <w:pStyle w:val="32"/>
        <w:spacing w:line="520" w:lineRule="exact"/>
        <w:ind w:firstLine="640" w:firstLineChars="200"/>
      </w:pPr>
      <w:r>
        <w:rPr>
          <w:rFonts w:hint="eastAsia"/>
        </w:rPr>
        <w:t>加强幼儿园师资队伍建设。严格按照省委编办关于幼儿园师资配备的规定配足幼儿园教师，吸引优秀幼教人才到公办幼儿园任教。合理确定公办园收费标准并建立定期动态调整机制，建立健全学前教育生均经费制度，不断提高补贴标准，完善普惠性幼儿园补助机制。完善学前教育课程体系建设，健全学前教育教研网络和教研指导责任区制度，优化幼儿教师培养课程体系，按照《3-6岁儿童学习与发展指南》，遵循3-6岁幼儿学习与发展的基本规律和特点,建构涉及健康、语言、社会、科学和艺术等5个方面内容的幼儿园课程。培育科学保教示范项目，巩固并提升学前教育保教水平。</w:t>
      </w:r>
    </w:p>
    <w:p>
      <w:pPr>
        <w:pStyle w:val="5"/>
        <w:spacing w:before="100" w:beforeAutospacing="1" w:after="100" w:afterAutospacing="1" w:line="560" w:lineRule="exact"/>
        <w:jc w:val="center"/>
        <w:rPr>
          <w:rFonts w:ascii="楷体_GB2312" w:hAnsi="楷体" w:eastAsia="楷体_GB2312" w:cs="楷体"/>
          <w:b w:val="0"/>
          <w:bCs w:val="0"/>
          <w:sz w:val="30"/>
          <w:szCs w:val="30"/>
        </w:rPr>
      </w:pPr>
      <w:bookmarkStart w:id="48" w:name="_Toc90281404"/>
      <w:r>
        <w:rPr>
          <w:rFonts w:hint="eastAsia" w:ascii="楷体_GB2312" w:hAnsi="楷体" w:eastAsia="楷体_GB2312" w:cs="楷体"/>
          <w:b w:val="0"/>
          <w:bCs w:val="0"/>
          <w:sz w:val="30"/>
          <w:szCs w:val="30"/>
        </w:rPr>
        <w:t>表2 “十四五”期间陆丰市公立幼儿园新增学位及建设规划情况表</w:t>
      </w:r>
      <w:bookmarkEnd w:id="48"/>
    </w:p>
    <w:tbl>
      <w:tblPr>
        <w:tblStyle w:val="21"/>
        <w:tblW w:w="8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68"/>
        <w:gridCol w:w="1716"/>
        <w:gridCol w:w="1829"/>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shd w:val="clear" w:color="auto" w:fill="D8D8D8" w:themeFill="background1" w:themeFillShade="D9"/>
            <w:vAlign w:val="center"/>
          </w:tcPr>
          <w:p>
            <w:pPr>
              <w:pStyle w:val="32"/>
              <w:ind w:firstLine="0"/>
              <w:jc w:val="center"/>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序号</w:t>
            </w:r>
          </w:p>
        </w:tc>
        <w:tc>
          <w:tcPr>
            <w:tcW w:w="1768" w:type="dxa"/>
            <w:shd w:val="clear" w:color="auto" w:fill="D8D8D8" w:themeFill="background1" w:themeFillShade="D9"/>
            <w:vAlign w:val="center"/>
          </w:tcPr>
          <w:p>
            <w:pPr>
              <w:pStyle w:val="32"/>
              <w:ind w:firstLine="0"/>
              <w:jc w:val="center"/>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镇属</w:t>
            </w:r>
          </w:p>
        </w:tc>
        <w:tc>
          <w:tcPr>
            <w:tcW w:w="1716" w:type="dxa"/>
            <w:shd w:val="clear" w:color="auto" w:fill="D8D8D8" w:themeFill="background1" w:themeFillShade="D9"/>
            <w:vAlign w:val="center"/>
          </w:tcPr>
          <w:p>
            <w:pPr>
              <w:pStyle w:val="32"/>
              <w:ind w:firstLine="0"/>
              <w:jc w:val="center"/>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新建园数/所</w:t>
            </w:r>
          </w:p>
        </w:tc>
        <w:tc>
          <w:tcPr>
            <w:tcW w:w="1829" w:type="dxa"/>
            <w:shd w:val="clear" w:color="auto" w:fill="D8D8D8" w:themeFill="background1" w:themeFillShade="D9"/>
            <w:vAlign w:val="center"/>
          </w:tcPr>
          <w:p>
            <w:pPr>
              <w:pStyle w:val="32"/>
              <w:ind w:firstLine="0"/>
              <w:jc w:val="center"/>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新增学位/个</w:t>
            </w:r>
          </w:p>
        </w:tc>
        <w:tc>
          <w:tcPr>
            <w:tcW w:w="2032" w:type="dxa"/>
            <w:shd w:val="clear" w:color="auto" w:fill="D8D8D8" w:themeFill="background1" w:themeFillShade="D9"/>
            <w:vAlign w:val="center"/>
          </w:tcPr>
          <w:p>
            <w:pPr>
              <w:pStyle w:val="32"/>
              <w:ind w:firstLine="0"/>
              <w:jc w:val="center"/>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计划投资/万元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博美镇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660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城东街道</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360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大安镇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300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东海街道</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1,200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河东镇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530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湖东镇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480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甲东镇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950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4,050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甲西镇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1,290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3,870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碣石镇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1,500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金厢镇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180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11</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南塘镇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1,530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5,790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12</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桥冲镇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450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73"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13</w:t>
            </w:r>
          </w:p>
        </w:tc>
        <w:tc>
          <w:tcPr>
            <w:tcW w:w="1768" w:type="dxa"/>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潭西镇</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29"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540 </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 xml:space="preserve"> 1,620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741" w:type="dxa"/>
            <w:gridSpan w:val="2"/>
            <w:vAlign w:val="center"/>
          </w:tcPr>
          <w:p>
            <w:pPr>
              <w:pStyle w:val="32"/>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716" w:type="dxa"/>
            <w:vAlign w:val="center"/>
          </w:tcPr>
          <w:p>
            <w:pPr>
              <w:pStyle w:val="32"/>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45</w:t>
            </w:r>
          </w:p>
        </w:tc>
        <w:tc>
          <w:tcPr>
            <w:tcW w:w="1829" w:type="dxa"/>
            <w:vAlign w:val="center"/>
          </w:tcPr>
          <w:p>
            <w:pPr>
              <w:pStyle w:val="32"/>
              <w:ind w:firstLine="0"/>
              <w:jc w:val="right"/>
              <w:rPr>
                <w:rFonts w:asciiTheme="minorEastAsia" w:hAnsiTheme="minorEastAsia" w:eastAsiaTheme="minorEastAsia"/>
                <w:sz w:val="24"/>
                <w:szCs w:val="24"/>
              </w:rPr>
            </w:pPr>
            <w:r>
              <w:rPr>
                <w:rFonts w:asciiTheme="minorEastAsia" w:hAnsiTheme="minorEastAsia" w:eastAsiaTheme="minorEastAsia"/>
                <w:sz w:val="24"/>
                <w:szCs w:val="24"/>
              </w:rPr>
              <w:t>9,970</w:t>
            </w:r>
          </w:p>
        </w:tc>
        <w:tc>
          <w:tcPr>
            <w:tcW w:w="2032" w:type="dxa"/>
            <w:vAlign w:val="center"/>
          </w:tcPr>
          <w:p>
            <w:pPr>
              <w:pStyle w:val="32"/>
              <w:ind w:firstLine="0"/>
              <w:jc w:val="right"/>
              <w:rPr>
                <w:rFonts w:ascii="宋体" w:hAnsi="宋体" w:eastAsia="宋体"/>
                <w:sz w:val="24"/>
                <w:szCs w:val="24"/>
              </w:rPr>
            </w:pPr>
            <w:r>
              <w:rPr>
                <w:rFonts w:ascii="宋体" w:hAnsi="宋体" w:eastAsia="宋体"/>
                <w:sz w:val="24"/>
                <w:szCs w:val="24"/>
              </w:rPr>
              <w:t>41,710</w:t>
            </w:r>
          </w:p>
        </w:tc>
      </w:tr>
    </w:tbl>
    <w:p>
      <w:pPr>
        <w:pStyle w:val="34"/>
        <w:spacing w:line="560" w:lineRule="exact"/>
        <w:ind w:firstLine="643" w:firstLineChars="200"/>
        <w:outlineLvl w:val="1"/>
      </w:pPr>
      <w:bookmarkStart w:id="49" w:name="_Toc66660392"/>
    </w:p>
    <w:p>
      <w:pPr>
        <w:pStyle w:val="34"/>
        <w:spacing w:line="560" w:lineRule="exact"/>
        <w:ind w:firstLine="643" w:firstLineChars="200"/>
        <w:outlineLvl w:val="1"/>
      </w:pPr>
      <w:bookmarkStart w:id="50" w:name="_Toc90281405"/>
      <w:r>
        <w:rPr>
          <w:rFonts w:hint="eastAsia"/>
        </w:rPr>
        <w:t>（三）实施义务教育优质均衡发展工程</w:t>
      </w:r>
      <w:bookmarkEnd w:id="49"/>
      <w:bookmarkEnd w:id="50"/>
    </w:p>
    <w:p>
      <w:pPr>
        <w:pStyle w:val="36"/>
        <w:spacing w:line="560" w:lineRule="exact"/>
        <w:outlineLvl w:val="2"/>
      </w:pPr>
      <w:bookmarkStart w:id="51" w:name="_Toc90281406"/>
      <w:bookmarkStart w:id="52" w:name="_Toc66660393"/>
      <w:r>
        <w:rPr>
          <w:rFonts w:hint="eastAsia"/>
        </w:rPr>
        <w:t>1</w:t>
      </w:r>
      <w:r>
        <w:t>.</w:t>
      </w:r>
      <w:r>
        <w:rPr>
          <w:rFonts w:hint="eastAsia"/>
        </w:rPr>
        <w:t>全面夯实义务教育优质均衡发展基础</w:t>
      </w:r>
      <w:bookmarkEnd w:id="51"/>
      <w:bookmarkEnd w:id="52"/>
    </w:p>
    <w:p>
      <w:pPr>
        <w:pStyle w:val="32"/>
      </w:pPr>
      <w:r>
        <w:rPr>
          <w:rFonts w:hint="eastAsia"/>
        </w:rPr>
        <w:t>加快推进“改薄提升”建设项目，在东海镇、碣石镇等缺欠公办义务教育学位的镇（场、区）新建义务教育学校</w:t>
      </w:r>
      <w:r>
        <w:t>14所，改扩建义务教育学校27所，新增义务教育学位51</w:t>
      </w:r>
      <w:r>
        <w:rPr>
          <w:rFonts w:hint="eastAsia"/>
        </w:rPr>
        <w:t>2</w:t>
      </w:r>
      <w:r>
        <w:t>50</w:t>
      </w:r>
      <w:r>
        <w:rPr>
          <w:rFonts w:hint="eastAsia"/>
        </w:rPr>
        <w:t>个。加快推进义务教育公民办结构调整和随迁子女入读公办学校工作，预计到2021年底，购买民办学位18000个，目标占比为21.83%。当前进城务工人员随迁子女入读公办学校比例有25%，预计完成进城务工人员随迁子女入读公办学校比例85%。截止2022年底，我市计划购买民办学校学位为48</w:t>
      </w:r>
      <w:r>
        <w:t>,</w:t>
      </w:r>
      <w:r>
        <w:rPr>
          <w:rFonts w:hint="eastAsia"/>
        </w:rPr>
        <w:t>888个，民办学位占比压为≤5%。</w:t>
      </w:r>
    </w:p>
    <w:p>
      <w:pPr>
        <w:pStyle w:val="32"/>
        <w:rPr>
          <w:bCs w:val="0"/>
        </w:rPr>
      </w:pPr>
      <w:r>
        <w:rPr>
          <w:rFonts w:hint="eastAsia"/>
        </w:rPr>
        <w:t>加快推进义务教育教学优质资源“班班通”设备、教师办公电脑、录播系统、“智慧课堂”和中小学实验室及实验设备设施配套等教育信息化建设项目，全面改善提升学生课桌椅、体育活动场地等教学设施设备，扩大农村义务寄宿制学校范围，满足寄宿生学校生活设施，全面改善全市义务教育阶段学校办学条件。</w:t>
      </w:r>
    </w:p>
    <w:p>
      <w:pPr>
        <w:pStyle w:val="36"/>
        <w:spacing w:line="560" w:lineRule="exact"/>
        <w:outlineLvl w:val="2"/>
      </w:pPr>
      <w:bookmarkStart w:id="53" w:name="_Toc90281407"/>
      <w:bookmarkStart w:id="54" w:name="_Toc66660394"/>
      <w:r>
        <w:rPr>
          <w:rFonts w:hint="eastAsia"/>
        </w:rPr>
        <w:t>2</w:t>
      </w:r>
      <w:r>
        <w:t>.</w:t>
      </w:r>
      <w:r>
        <w:rPr>
          <w:rFonts w:hint="eastAsia"/>
        </w:rPr>
        <w:t>进一步优化教育布局</w:t>
      </w:r>
      <w:bookmarkEnd w:id="53"/>
      <w:bookmarkEnd w:id="54"/>
    </w:p>
    <w:p>
      <w:pPr>
        <w:pStyle w:val="32"/>
        <w:ind w:firstLine="640" w:firstLineChars="200"/>
        <w:rPr>
          <w:bCs w:val="0"/>
        </w:rPr>
      </w:pPr>
      <w:r>
        <w:rPr>
          <w:rFonts w:hint="eastAsia"/>
        </w:rPr>
        <w:t>积</w:t>
      </w:r>
      <w:r>
        <w:rPr>
          <w:rFonts w:hint="eastAsia"/>
          <w:bCs w:val="0"/>
        </w:rPr>
        <w:t>极推进义务教育学校布局调整，合理调配好教育资源，中心区梯次迁移高中学校，增加学位供给，缓解学位紧张压力，实施农村义务教育布局调整。除县城外，每个农村镇划分为若干个</w:t>
      </w:r>
      <w:r>
        <w:rPr>
          <w:bCs w:val="0"/>
        </w:rPr>
        <w:t>(3-5个)片区（甲子、碣石等人口大镇可适当增加片区个数），每个片区设立一所高标准示范学校(小学)，从土地供给、规划建设、设施设备、运动场地、师资力量、经费投入等方面给予倾斜，使每一所片区示范学校能在教育思想、专业建设、教育质量、校园文化等方面，在片区乃至全镇范围内起到辐射和引领的作用。通过不断提升片区示范学校办学效益和教育质量，吸引片区周边学校学生到片区示范学校就读，逐步消除小规模学校。</w:t>
      </w:r>
      <w:r>
        <w:rPr>
          <w:rFonts w:hint="eastAsia"/>
          <w:bCs w:val="0"/>
        </w:rPr>
        <w:t>促进“城镇挤、乡村弱”问题明显改善，城乡义务教育一体化发展水平明显提升。实施班额控制行动计划，到</w:t>
      </w:r>
      <w:r>
        <w:rPr>
          <w:rFonts w:hint="eastAsia"/>
        </w:rPr>
        <w:t>2022</w:t>
      </w:r>
      <w:r>
        <w:rPr>
          <w:rFonts w:hint="eastAsia"/>
          <w:bCs w:val="0"/>
        </w:rPr>
        <w:t>年，全部消除56人以上大班额，七年级、一年级新生班额分别控制在50人以下和</w:t>
      </w:r>
      <w:r>
        <w:rPr>
          <w:bCs w:val="0"/>
        </w:rPr>
        <w:t>45人以下。到2025</w:t>
      </w:r>
      <w:r>
        <w:rPr>
          <w:rFonts w:hint="eastAsia"/>
          <w:bCs w:val="0"/>
        </w:rPr>
        <w:t>年，九年义务教育巩固率达到</w:t>
      </w:r>
      <w:r>
        <w:rPr>
          <w:bCs w:val="0"/>
        </w:rPr>
        <w:t>98%以上。</w:t>
      </w:r>
      <w:r>
        <w:rPr>
          <w:rFonts w:hint="eastAsia"/>
          <w:bCs w:val="0"/>
        </w:rPr>
        <w:t>增加特殊教育学位供给，在我市东南片新建一所特殊教育学校，解决东南片残疾儿童就近入学问题。</w:t>
      </w:r>
    </w:p>
    <w:p>
      <w:pPr>
        <w:pStyle w:val="5"/>
        <w:spacing w:before="100" w:beforeAutospacing="1" w:after="100" w:afterAutospacing="1" w:line="560" w:lineRule="exact"/>
        <w:jc w:val="center"/>
        <w:rPr>
          <w:rFonts w:ascii="楷体_GB2312" w:hAnsi="楷体" w:eastAsia="楷体_GB2312" w:cs="楷体"/>
          <w:b w:val="0"/>
          <w:bCs w:val="0"/>
          <w:sz w:val="30"/>
          <w:szCs w:val="30"/>
        </w:rPr>
      </w:pPr>
      <w:bookmarkStart w:id="55" w:name="_Toc90281408"/>
      <w:r>
        <w:rPr>
          <w:rFonts w:hint="eastAsia" w:ascii="楷体_GB2312" w:hAnsi="楷体" w:eastAsia="楷体_GB2312" w:cs="楷体"/>
          <w:b w:val="0"/>
          <w:bCs w:val="0"/>
          <w:sz w:val="30"/>
          <w:szCs w:val="30"/>
        </w:rPr>
        <w:t>表3“十四五”期间陆丰市义务教育公办学位供给及建设规划表</w:t>
      </w:r>
      <w:bookmarkEnd w:id="55"/>
    </w:p>
    <w:tbl>
      <w:tblPr>
        <w:tblStyle w:val="47"/>
        <w:tblW w:w="8891" w:type="dxa"/>
        <w:jc w:val="center"/>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Grid>
        <w:gridCol w:w="1028"/>
        <w:gridCol w:w="1624"/>
        <w:gridCol w:w="1572"/>
        <w:gridCol w:w="1299"/>
        <w:gridCol w:w="1623"/>
        <w:gridCol w:w="17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 号</w:t>
            </w:r>
          </w:p>
        </w:tc>
        <w:tc>
          <w:tcPr>
            <w:tcW w:w="162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镇 属</w:t>
            </w:r>
          </w:p>
        </w:tc>
        <w:tc>
          <w:tcPr>
            <w:tcW w:w="1572"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建设性质</w:t>
            </w:r>
          </w:p>
        </w:tc>
        <w:tc>
          <w:tcPr>
            <w:tcW w:w="1299"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项目数</w:t>
            </w:r>
          </w:p>
        </w:tc>
        <w:tc>
          <w:tcPr>
            <w:tcW w:w="162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新增学位/个</w:t>
            </w:r>
          </w:p>
        </w:tc>
        <w:tc>
          <w:tcPr>
            <w:tcW w:w="174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计划投资/万元</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东海镇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7,100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13,100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2</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东海镇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14,200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67,300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3</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碣石镇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5,400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9,700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4</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碣石镇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9,500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51,100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5</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甲子镇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5,300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10,800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6</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内湖镇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620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1,100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7</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潭西镇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1,200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1,750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8</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潭西镇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1,250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4,500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9</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金厢镇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450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1,000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10</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大安镇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迁址新建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1,000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25,000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11</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甲东镇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1,000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5,700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12</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湖东镇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1,850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7,500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13</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南塘镇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900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1,800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14</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南塘镇</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1,200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6,600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15</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铜锣湖农场</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230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650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val="0"/>
                <w:bCs w:val="0"/>
                <w:color w:val="000000"/>
                <w:kern w:val="0"/>
                <w:szCs w:val="21"/>
              </w:rPr>
            </w:pPr>
            <w:r>
              <w:rPr>
                <w:rFonts w:hint="eastAsia" w:cs="宋体" w:asciiTheme="minorEastAsia" w:hAnsiTheme="minorEastAsia" w:eastAsiaTheme="minorEastAsia"/>
                <w:b w:val="0"/>
                <w:bCs w:val="0"/>
                <w:color w:val="000000"/>
                <w:kern w:val="0"/>
                <w:szCs w:val="21"/>
              </w:rPr>
              <w:t>16</w:t>
            </w:r>
          </w:p>
        </w:tc>
        <w:tc>
          <w:tcPr>
            <w:tcW w:w="16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星都区</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改扩建</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450 </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asciiTheme="minorEastAsia" w:hAnsiTheme="minorEastAsia" w:eastAsiaTheme="minorEastAsia"/>
              </w:rPr>
              <w:t xml:space="preserve"> 1,200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454" w:hRule="exact"/>
          <w:jc w:val="center"/>
        </w:trPr>
        <w:tc>
          <w:tcPr>
            <w:tcW w:w="4224"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b/>
                <w:bCs/>
                <w:kern w:val="0"/>
                <w:szCs w:val="21"/>
              </w:rPr>
            </w:pPr>
            <w:r>
              <w:rPr>
                <w:rFonts w:hint="eastAsia" w:cs="宋体" w:asciiTheme="minorEastAsia" w:hAnsiTheme="minorEastAsia" w:eastAsiaTheme="minorEastAsia"/>
                <w:b/>
                <w:bCs/>
                <w:color w:val="000000"/>
                <w:kern w:val="0"/>
                <w:szCs w:val="21"/>
              </w:rPr>
              <w:t>总计</w:t>
            </w:r>
          </w:p>
        </w:tc>
        <w:tc>
          <w:tcPr>
            <w:tcW w:w="12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w:t>
            </w:r>
          </w:p>
        </w:tc>
        <w:tc>
          <w:tcPr>
            <w:tcW w:w="162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51,650</w:t>
            </w:r>
          </w:p>
        </w:tc>
        <w:tc>
          <w:tcPr>
            <w:tcW w:w="174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208</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800</w:t>
            </w:r>
          </w:p>
        </w:tc>
      </w:tr>
    </w:tbl>
    <w:p>
      <w:pPr>
        <w:pStyle w:val="36"/>
        <w:spacing w:line="540" w:lineRule="exact"/>
        <w:outlineLvl w:val="2"/>
      </w:pPr>
      <w:bookmarkStart w:id="56" w:name="_Toc66660395"/>
      <w:bookmarkStart w:id="57" w:name="_Toc90281409"/>
      <w:r>
        <w:rPr>
          <w:rFonts w:hint="eastAsia"/>
        </w:rPr>
        <w:t>3</w:t>
      </w:r>
      <w:r>
        <w:t>.</w:t>
      </w:r>
      <w:r>
        <w:rPr>
          <w:rFonts w:hint="eastAsia"/>
        </w:rPr>
        <w:t>积极探索多种办学模式</w:t>
      </w:r>
      <w:bookmarkEnd w:id="56"/>
      <w:bookmarkEnd w:id="57"/>
    </w:p>
    <w:p>
      <w:pPr>
        <w:pStyle w:val="32"/>
        <w:spacing w:line="540" w:lineRule="exact"/>
      </w:pPr>
      <w:r>
        <w:rPr>
          <w:rFonts w:hint="eastAsia"/>
        </w:rPr>
        <w:t>实施强校帮扶弱校，探索多校协同、区域组团、同学段联盟、跨学段联合、委托管理、多法人组合、单法人多校区、九年一贯制、十二年一体制等多种办学模式，推进集团化办学、联合办学、委托管理和分校区管理，实现区域间的资源共享，创新驱动区域内学校共同发展，充分激发办学活力，充分发挥优质学校的资源优势和品牌效应，整体提升学校办学水平，加快缩小城乡、区域、学校间教育水平差距。</w:t>
      </w:r>
    </w:p>
    <w:p>
      <w:pPr>
        <w:pStyle w:val="34"/>
        <w:spacing w:line="540" w:lineRule="exact"/>
        <w:ind w:firstLine="643" w:firstLineChars="200"/>
        <w:outlineLvl w:val="1"/>
      </w:pPr>
      <w:bookmarkStart w:id="58" w:name="_Toc66660396"/>
      <w:bookmarkStart w:id="59" w:name="_Toc90281410"/>
      <w:r>
        <w:rPr>
          <w:rFonts w:hint="eastAsia"/>
        </w:rPr>
        <w:t>（四）实施义务教育和高中教育教学质量提升工程</w:t>
      </w:r>
      <w:bookmarkEnd w:id="58"/>
      <w:bookmarkEnd w:id="59"/>
    </w:p>
    <w:p>
      <w:pPr>
        <w:pStyle w:val="36"/>
        <w:spacing w:line="540" w:lineRule="exact"/>
        <w:outlineLvl w:val="2"/>
      </w:pPr>
      <w:bookmarkStart w:id="60" w:name="_Toc66660397"/>
      <w:bookmarkStart w:id="61" w:name="_Toc90281411"/>
      <w:r>
        <w:rPr>
          <w:rFonts w:hint="eastAsia"/>
        </w:rPr>
        <w:t>1</w:t>
      </w:r>
      <w:r>
        <w:t>.</w:t>
      </w:r>
      <w:r>
        <w:rPr>
          <w:rFonts w:hint="eastAsia"/>
        </w:rPr>
        <w:t>加快推进高中学校布局调整</w:t>
      </w:r>
      <w:bookmarkEnd w:id="60"/>
      <w:bookmarkEnd w:id="61"/>
    </w:p>
    <w:p>
      <w:pPr>
        <w:pStyle w:val="32"/>
        <w:spacing w:line="540" w:lineRule="exact"/>
      </w:pPr>
      <w:bookmarkStart w:id="62" w:name="_Toc66660398"/>
      <w:r>
        <w:rPr>
          <w:rFonts w:hint="eastAsia"/>
        </w:rPr>
        <w:t>实施高中学位供给建设规划，改扩建甲子中学、南塘五峰中学、东海新龙中学及碣石中学高中部迁址新建，新增高中学位</w:t>
      </w:r>
      <w:r>
        <w:t>4000个；</w:t>
      </w:r>
      <w:r>
        <w:rPr>
          <w:rFonts w:hint="eastAsia"/>
        </w:rPr>
        <w:t>推进龙山中学新校区二期</w:t>
      </w:r>
      <w:r>
        <w:t>2标段、林启恩纪念中学、东海龙潭中学等高中学校配套设施提质升级工程项目，增加高中优质学位，改善县城高中学校办学条件，提高整体教学质量。</w:t>
      </w:r>
    </w:p>
    <w:p>
      <w:pPr>
        <w:pStyle w:val="5"/>
        <w:spacing w:before="100" w:beforeAutospacing="1" w:after="100" w:afterAutospacing="1" w:line="540" w:lineRule="exact"/>
        <w:jc w:val="center"/>
        <w:rPr>
          <w:rFonts w:ascii="楷体_GB2312" w:hAnsi="楷体" w:eastAsia="楷体_GB2312" w:cs="楷体"/>
          <w:b w:val="0"/>
          <w:bCs w:val="0"/>
          <w:sz w:val="30"/>
          <w:szCs w:val="30"/>
        </w:rPr>
      </w:pPr>
      <w:bookmarkStart w:id="63" w:name="_Toc90281412"/>
      <w:r>
        <w:rPr>
          <w:rFonts w:hint="eastAsia" w:ascii="楷体_GB2312" w:hAnsi="楷体" w:eastAsia="楷体_GB2312" w:cs="楷体"/>
          <w:b w:val="0"/>
          <w:bCs w:val="0"/>
          <w:sz w:val="30"/>
          <w:szCs w:val="30"/>
        </w:rPr>
        <w:t>表</w:t>
      </w:r>
      <w:r>
        <w:rPr>
          <w:rFonts w:ascii="楷体_GB2312" w:hAnsi="楷体" w:eastAsia="楷体_GB2312" w:cs="楷体"/>
          <w:b w:val="0"/>
          <w:bCs w:val="0"/>
          <w:sz w:val="30"/>
          <w:szCs w:val="30"/>
        </w:rPr>
        <w:t>4</w:t>
      </w:r>
      <w:r>
        <w:rPr>
          <w:rFonts w:hint="eastAsia" w:ascii="楷体_GB2312" w:hAnsi="楷体" w:eastAsia="楷体_GB2312" w:cs="楷体"/>
          <w:b w:val="0"/>
          <w:bCs w:val="0"/>
          <w:sz w:val="30"/>
          <w:szCs w:val="30"/>
        </w:rPr>
        <w:t>“十四五”期间陆丰市高中公办学位供给及建设规划表</w:t>
      </w:r>
      <w:bookmarkEnd w:id="63"/>
    </w:p>
    <w:tbl>
      <w:tblPr>
        <w:tblStyle w:val="20"/>
        <w:tblW w:w="8789" w:type="dxa"/>
        <w:jc w:val="center"/>
        <w:tblInd w:w="0" w:type="dxa"/>
        <w:tblLayout w:type="fixed"/>
        <w:tblCellMar>
          <w:top w:w="0" w:type="dxa"/>
          <w:left w:w="108" w:type="dxa"/>
          <w:bottom w:w="0" w:type="dxa"/>
          <w:right w:w="108" w:type="dxa"/>
        </w:tblCellMar>
      </w:tblPr>
      <w:tblGrid>
        <w:gridCol w:w="704"/>
        <w:gridCol w:w="2268"/>
        <w:gridCol w:w="1276"/>
        <w:gridCol w:w="1276"/>
        <w:gridCol w:w="1417"/>
        <w:gridCol w:w="1848"/>
      </w:tblGrid>
      <w:tr>
        <w:tblPrEx>
          <w:tblLayout w:type="fixed"/>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kern w:val="0"/>
                <w:szCs w:val="21"/>
              </w:rPr>
            </w:pPr>
            <w:r>
              <w:rPr>
                <w:rFonts w:hint="eastAsia" w:ascii="宋体" w:hAnsi="宋体" w:cs="宋体"/>
                <w:b/>
                <w:bCs/>
                <w:kern w:val="0"/>
                <w:szCs w:val="21"/>
              </w:rPr>
              <w:t>序号</w:t>
            </w:r>
          </w:p>
        </w:tc>
        <w:tc>
          <w:tcPr>
            <w:tcW w:w="2268"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rFonts w:hint="eastAsia" w:ascii="宋体" w:hAnsi="宋体" w:cs="宋体"/>
                <w:b/>
                <w:bCs/>
                <w:kern w:val="0"/>
                <w:szCs w:val="21"/>
              </w:rPr>
              <w:t>学校名称</w:t>
            </w:r>
          </w:p>
        </w:tc>
        <w:tc>
          <w:tcPr>
            <w:tcW w:w="12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rFonts w:hint="eastAsia" w:ascii="宋体" w:hAnsi="宋体" w:cs="宋体"/>
                <w:b/>
                <w:bCs/>
                <w:kern w:val="0"/>
                <w:szCs w:val="21"/>
              </w:rPr>
              <w:t>建设性质</w:t>
            </w:r>
          </w:p>
        </w:tc>
        <w:tc>
          <w:tcPr>
            <w:tcW w:w="12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rFonts w:hint="eastAsia" w:ascii="宋体" w:hAnsi="宋体" w:cs="宋体"/>
                <w:b/>
                <w:bCs/>
                <w:kern w:val="0"/>
                <w:szCs w:val="21"/>
              </w:rPr>
              <w:t>学校类型</w:t>
            </w:r>
          </w:p>
        </w:tc>
        <w:tc>
          <w:tcPr>
            <w:tcW w:w="141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right"/>
              <w:rPr>
                <w:rFonts w:ascii="宋体" w:hAnsi="宋体"/>
                <w:kern w:val="0"/>
                <w:szCs w:val="21"/>
              </w:rPr>
            </w:pPr>
            <w:r>
              <w:rPr>
                <w:rFonts w:hint="eastAsia" w:ascii="宋体" w:hAnsi="宋体" w:cs="宋体"/>
                <w:b/>
                <w:bCs/>
                <w:kern w:val="0"/>
                <w:szCs w:val="21"/>
              </w:rPr>
              <w:t>新增学位/个</w:t>
            </w:r>
          </w:p>
        </w:tc>
        <w:tc>
          <w:tcPr>
            <w:tcW w:w="1848"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right"/>
              <w:rPr>
                <w:rFonts w:ascii="宋体" w:hAnsi="宋体"/>
                <w:kern w:val="0"/>
                <w:szCs w:val="21"/>
              </w:rPr>
            </w:pPr>
            <w:r>
              <w:rPr>
                <w:rFonts w:hint="eastAsia" w:ascii="宋体" w:hAnsi="宋体" w:cs="宋体"/>
                <w:b/>
                <w:bCs/>
                <w:kern w:val="0"/>
                <w:szCs w:val="21"/>
              </w:rPr>
              <w:t>计划投资/万元</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陆丰市甲子中学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改扩建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完全中学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1,000</w:t>
            </w: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3,900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陆丰市碣石中学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迁址新建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高级中学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1,000</w:t>
            </w: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18,900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陆丰市南塘五峰中学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改扩建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完全中学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1,200</w:t>
            </w: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6,100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陆丰市新龙中学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改扩建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高级中学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800</w:t>
            </w: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3,100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陆丰市龙山中学新校区二期二标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高级中学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hint="eastAsia" w:ascii="宋体" w:hAnsi="宋体"/>
                <w:kern w:val="0"/>
                <w:szCs w:val="21"/>
              </w:rPr>
              <w:t>8</w:t>
            </w:r>
            <w:r>
              <w:rPr>
                <w:rFonts w:ascii="宋体" w:hAnsi="宋体"/>
                <w:kern w:val="0"/>
                <w:szCs w:val="21"/>
              </w:rPr>
              <w:t>,</w:t>
            </w:r>
            <w:r>
              <w:rPr>
                <w:rFonts w:hint="eastAsia" w:ascii="宋体" w:hAnsi="宋体"/>
                <w:kern w:val="0"/>
                <w:szCs w:val="21"/>
              </w:rPr>
              <w:t>000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陆丰市东海镇</w:t>
            </w:r>
          </w:p>
          <w:p>
            <w:pPr>
              <w:widowControl/>
              <w:jc w:val="center"/>
              <w:rPr>
                <w:rFonts w:ascii="宋体" w:hAnsi="宋体" w:cs="宋体"/>
                <w:kern w:val="0"/>
                <w:szCs w:val="21"/>
              </w:rPr>
            </w:pPr>
            <w:r>
              <w:rPr>
                <w:rFonts w:hint="eastAsia" w:ascii="宋体" w:hAnsi="宋体" w:cs="宋体"/>
                <w:kern w:val="0"/>
                <w:szCs w:val="21"/>
              </w:rPr>
              <w:t>龙潭中学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改扩建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完全中学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hint="eastAsia" w:ascii="宋体" w:hAnsi="宋体"/>
                <w:kern w:val="0"/>
                <w:szCs w:val="21"/>
              </w:rPr>
              <w:t>4</w:t>
            </w:r>
            <w:r>
              <w:rPr>
                <w:rFonts w:ascii="宋体" w:hAnsi="宋体"/>
                <w:kern w:val="0"/>
                <w:szCs w:val="21"/>
              </w:rPr>
              <w:t>,000</w:t>
            </w:r>
          </w:p>
        </w:tc>
      </w:tr>
      <w:tr>
        <w:tblPrEx>
          <w:tblLayout w:type="fixed"/>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陆丰市东海中学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改扩建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完全中学</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hint="eastAsia" w:ascii="宋体" w:hAnsi="宋体"/>
                <w:kern w:val="0"/>
                <w:szCs w:val="21"/>
              </w:rPr>
              <w:t>3</w:t>
            </w:r>
            <w:r>
              <w:rPr>
                <w:rFonts w:ascii="宋体" w:hAnsi="宋体"/>
                <w:kern w:val="0"/>
                <w:szCs w:val="21"/>
              </w:rPr>
              <w:t>,500</w:t>
            </w:r>
          </w:p>
        </w:tc>
      </w:tr>
      <w:tr>
        <w:tblPrEx>
          <w:tblLayout w:type="fixed"/>
          <w:tblCellMar>
            <w:top w:w="0" w:type="dxa"/>
            <w:left w:w="108" w:type="dxa"/>
            <w:bottom w:w="0" w:type="dxa"/>
            <w:right w:w="108" w:type="dxa"/>
          </w:tblCellMar>
        </w:tblPrEx>
        <w:trPr>
          <w:trHeight w:val="454" w:hRule="atLeast"/>
          <w:jc w:val="center"/>
        </w:trPr>
        <w:tc>
          <w:tcPr>
            <w:tcW w:w="55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4,000</w:t>
            </w:r>
          </w:p>
        </w:tc>
        <w:tc>
          <w:tcPr>
            <w:tcW w:w="184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kern w:val="0"/>
                <w:szCs w:val="21"/>
              </w:rPr>
            </w:pPr>
            <w:r>
              <w:rPr>
                <w:rFonts w:ascii="宋体" w:hAnsi="宋体"/>
                <w:kern w:val="0"/>
                <w:szCs w:val="21"/>
              </w:rPr>
              <w:t>47,500</w:t>
            </w:r>
          </w:p>
        </w:tc>
      </w:tr>
    </w:tbl>
    <w:p>
      <w:pPr>
        <w:pStyle w:val="36"/>
        <w:spacing w:line="560" w:lineRule="exact"/>
        <w:outlineLvl w:val="2"/>
      </w:pPr>
      <w:bookmarkStart w:id="64" w:name="_Toc90281413"/>
      <w:r>
        <w:rPr>
          <w:rFonts w:hint="eastAsia"/>
        </w:rPr>
        <w:t>2</w:t>
      </w:r>
      <w:r>
        <w:t>.</w:t>
      </w:r>
      <w:r>
        <w:rPr>
          <w:rFonts w:hint="eastAsia"/>
        </w:rPr>
        <w:t>建立科学的教育教学质量监测体系</w:t>
      </w:r>
      <w:bookmarkEnd w:id="62"/>
      <w:bookmarkEnd w:id="64"/>
    </w:p>
    <w:p>
      <w:pPr>
        <w:pStyle w:val="34"/>
        <w:spacing w:line="560" w:lineRule="exact"/>
        <w:rPr>
          <w:rFonts w:ascii="仿宋_GB2312" w:eastAsia="仿宋_GB2312"/>
          <w:b w:val="0"/>
          <w:bCs w:val="0"/>
        </w:rPr>
      </w:pPr>
      <w:r>
        <w:rPr>
          <w:rFonts w:hint="eastAsia" w:ascii="仿宋_GB2312" w:eastAsia="仿宋_GB2312"/>
          <w:b w:val="0"/>
          <w:bCs w:val="0"/>
        </w:rPr>
        <w:t>推动各学校运用科学的方法和合理有效的评价机制对学生学业水平，中、高考教学质量进行监测和分析，查找问题，找准弱项，采取整改措施。定期对学生进行思想品德状况分析，关注学生的思想动态、心理健康，有针对性地开展思想政治教育，把加强中小学生的思想道德建设融合到教育教学的每个环节。强化教育教学质量监测及成果应用，将监测实施和结果与年度考核、绩效考核、职务晋升（评聘）等挂钩，促进校长加强管理、教师改进教学、学生努力学习，确保到</w:t>
      </w:r>
      <w:r>
        <w:rPr>
          <w:rFonts w:ascii="仿宋_GB2312" w:eastAsia="仿宋_GB2312"/>
          <w:b w:val="0"/>
          <w:bCs w:val="0"/>
        </w:rPr>
        <w:t>2025年前，中小学生的学业水平测试及格率、优秀率接近汕尾市平均水平。</w:t>
      </w:r>
    </w:p>
    <w:p>
      <w:pPr>
        <w:pStyle w:val="36"/>
        <w:spacing w:line="560" w:lineRule="exact"/>
        <w:outlineLvl w:val="2"/>
      </w:pPr>
      <w:bookmarkStart w:id="65" w:name="_Toc90281414"/>
      <w:bookmarkStart w:id="66" w:name="_Toc66660399"/>
      <w:r>
        <w:rPr>
          <w:rFonts w:hint="eastAsia"/>
        </w:rPr>
        <w:t>3</w:t>
      </w:r>
      <w:r>
        <w:t>.</w:t>
      </w:r>
      <w:r>
        <w:rPr>
          <w:rFonts w:hint="eastAsia"/>
        </w:rPr>
        <w:t>深化教育教学科学研究</w:t>
      </w:r>
      <w:bookmarkEnd w:id="65"/>
      <w:bookmarkEnd w:id="66"/>
    </w:p>
    <w:p>
      <w:pPr>
        <w:pStyle w:val="32"/>
      </w:pPr>
      <w:r>
        <w:rPr>
          <w:rFonts w:hint="eastAsia"/>
        </w:rPr>
        <w:t>立足“问题”做研究，树立教科研服务于教育质量提升意识，把研究与教育教学实践深度融合，打破“教科研”与“教育教学”两张皮现象，提高教育科学研究的针对性和实效性。加强中考和高考普遍性规律的研究，提高教师和学生备考效能。积极应对新高考综合改革，深化高中课程改革，探索推进高中选课走班教学新模式，稳步提升高考本科率、入围率和优先投档率。健全各级各类学校的教研机构建设，吸引不同年龄段、不同学科、不同研究方向的教师加入教研机构。针对性地开展教研活动，尤其加强市、省级研究课题的申报和结题工作。到</w:t>
      </w:r>
      <w:r>
        <w:t>2025年，全市市级课题结题数达汕尾市结题总数30%以上，省级课题结题数达全市结题总数20%以上</w:t>
      </w:r>
      <w:r>
        <w:rPr>
          <w:rFonts w:hint="eastAsia"/>
        </w:rPr>
        <w:t>。每门学科都要打造出一定数量的市、省级甚至国家级优质课。</w:t>
      </w:r>
    </w:p>
    <w:p>
      <w:pPr>
        <w:pStyle w:val="32"/>
      </w:pPr>
    </w:p>
    <w:p>
      <w:pPr>
        <w:pStyle w:val="34"/>
        <w:spacing w:line="560" w:lineRule="exact"/>
        <w:outlineLvl w:val="1"/>
      </w:pPr>
      <w:bookmarkStart w:id="67" w:name="_Toc90281415"/>
      <w:bookmarkStart w:id="68" w:name="_Toc66660400"/>
      <w:r>
        <w:rPr>
          <w:rFonts w:hint="eastAsia"/>
        </w:rPr>
        <w:t>（五）实施职业教育品质提升工程</w:t>
      </w:r>
      <w:bookmarkEnd w:id="67"/>
      <w:bookmarkEnd w:id="68"/>
    </w:p>
    <w:p>
      <w:pPr>
        <w:pStyle w:val="36"/>
        <w:spacing w:line="560" w:lineRule="exact"/>
        <w:outlineLvl w:val="2"/>
      </w:pPr>
      <w:bookmarkStart w:id="69" w:name="_Toc66660401"/>
      <w:bookmarkStart w:id="70" w:name="_Toc90281416"/>
      <w:r>
        <w:rPr>
          <w:rFonts w:hint="eastAsia"/>
        </w:rPr>
        <w:t>1</w:t>
      </w:r>
      <w:r>
        <w:t>.</w:t>
      </w:r>
      <w:r>
        <w:rPr>
          <w:rFonts w:hint="eastAsia"/>
        </w:rPr>
        <w:t>进一步优化中职学校布局</w:t>
      </w:r>
      <w:bookmarkEnd w:id="69"/>
      <w:bookmarkEnd w:id="70"/>
    </w:p>
    <w:p>
      <w:pPr>
        <w:pStyle w:val="32"/>
      </w:pPr>
      <w:r>
        <w:rPr>
          <w:rFonts w:hint="eastAsia"/>
        </w:rPr>
        <w:t>撤销博美职业技术学校、甲西职业技术学校。多方筹资，加大投入，优化陆丰市职业技术学校、陆丰市第二职业技术学校、甲秀职业技术学校及碣石新安职业技术学校校舍、教学实训、生活设施设备等办学条件，加快陆丰市第二职业技术学校创建广东省高水平中职学校、陆丰市职业技术学校创建广东省重点中职学校步伐。招聘“双师型”教师、研究生以上学历教师，鼓励支持在职教师参加专业技能认证考试及学历、学位提升，提高“双师型”教师比例和研究生以上学历教师比例。扩大中职教育办学规模，提高中职生源总量，提升中职人才质量。到2025年前，全市高中阶段教育毛入学率达到98%以上，普职比基本相当，中职毕业生就业率达到98%以上。</w:t>
      </w:r>
    </w:p>
    <w:p>
      <w:pPr>
        <w:pStyle w:val="36"/>
        <w:spacing w:line="560" w:lineRule="exact"/>
        <w:outlineLvl w:val="2"/>
      </w:pPr>
      <w:bookmarkStart w:id="71" w:name="_Toc66660402"/>
      <w:bookmarkStart w:id="72" w:name="_Toc90281417"/>
      <w:r>
        <w:rPr>
          <w:rFonts w:hint="eastAsia"/>
        </w:rPr>
        <w:t>2</w:t>
      </w:r>
      <w:r>
        <w:t>.</w:t>
      </w:r>
      <w:r>
        <w:rPr>
          <w:rFonts w:hint="eastAsia"/>
        </w:rPr>
        <w:t>进一步提升中职教育质量</w:t>
      </w:r>
      <w:bookmarkEnd w:id="71"/>
      <w:bookmarkEnd w:id="72"/>
    </w:p>
    <w:p>
      <w:pPr>
        <w:pStyle w:val="32"/>
      </w:pPr>
      <w:r>
        <w:rPr>
          <w:rFonts w:hint="eastAsia"/>
        </w:rPr>
        <w:t>加强校企合作，深化产教融合，结合区域经济、产业发展规划科学优化专业结构，加强骨干专业建设，创建特色专业和品牌专业，整合优化非主干专业，加强“中餐烹饪”专业建设。到2025年前，建成2个以上校企合作共同体。</w:t>
      </w:r>
    </w:p>
    <w:p>
      <w:pPr>
        <w:pStyle w:val="36"/>
        <w:spacing w:line="560" w:lineRule="exact"/>
        <w:outlineLvl w:val="2"/>
      </w:pPr>
      <w:bookmarkStart w:id="73" w:name="_Toc66660403"/>
      <w:bookmarkStart w:id="74" w:name="_Toc90281418"/>
      <w:r>
        <w:rPr>
          <w:rFonts w:hint="eastAsia"/>
        </w:rPr>
        <w:t>3</w:t>
      </w:r>
      <w:r>
        <w:t>.</w:t>
      </w:r>
      <w:r>
        <w:rPr>
          <w:rFonts w:hint="eastAsia"/>
        </w:rPr>
        <w:t>加强“双师型”教师队伍建设</w:t>
      </w:r>
      <w:bookmarkEnd w:id="73"/>
      <w:bookmarkEnd w:id="74"/>
    </w:p>
    <w:p>
      <w:pPr>
        <w:pStyle w:val="32"/>
      </w:pPr>
      <w:r>
        <w:rPr>
          <w:rFonts w:hint="eastAsia"/>
        </w:rPr>
        <w:t>实行弹性教师聘任制，聘请企业能工巧匠到职校担任兼职教师。在市政府指导和市财政保障下，探索实行教师合同聘用制管理，配齐“双师型”教师。</w:t>
      </w:r>
    </w:p>
    <w:p>
      <w:pPr>
        <w:pStyle w:val="32"/>
        <w:spacing w:line="580" w:lineRule="exact"/>
      </w:pPr>
    </w:p>
    <w:p>
      <w:pPr>
        <w:pStyle w:val="32"/>
        <w:spacing w:line="580" w:lineRule="exact"/>
      </w:pPr>
    </w:p>
    <w:p>
      <w:pPr>
        <w:pStyle w:val="34"/>
        <w:spacing w:line="540" w:lineRule="exact"/>
        <w:outlineLvl w:val="1"/>
      </w:pPr>
      <w:bookmarkStart w:id="75" w:name="_Toc66660404"/>
      <w:bookmarkStart w:id="76" w:name="_Toc90281419"/>
      <w:r>
        <w:rPr>
          <w:rFonts w:hint="eastAsia"/>
        </w:rPr>
        <w:t>（六）实施青少年塑魂育人工程</w:t>
      </w:r>
      <w:bookmarkEnd w:id="75"/>
      <w:bookmarkEnd w:id="76"/>
    </w:p>
    <w:p>
      <w:pPr>
        <w:pStyle w:val="36"/>
        <w:spacing w:line="540" w:lineRule="exact"/>
        <w:outlineLvl w:val="2"/>
      </w:pPr>
      <w:bookmarkStart w:id="77" w:name="_Toc66660405"/>
      <w:bookmarkStart w:id="78" w:name="_Toc90281420"/>
      <w:r>
        <w:rPr>
          <w:rFonts w:hint="eastAsia"/>
        </w:rPr>
        <w:t>1</w:t>
      </w:r>
      <w:r>
        <w:t>.</w:t>
      </w:r>
      <w:r>
        <w:rPr>
          <w:rFonts w:hint="eastAsia"/>
        </w:rPr>
        <w:t>加强思政课和课程思政建设</w:t>
      </w:r>
      <w:bookmarkEnd w:id="77"/>
      <w:bookmarkEnd w:id="78"/>
    </w:p>
    <w:p>
      <w:pPr>
        <w:pStyle w:val="32"/>
        <w:spacing w:line="540" w:lineRule="exact"/>
      </w:pPr>
      <w:r>
        <w:rPr>
          <w:rFonts w:hint="eastAsia"/>
        </w:rPr>
        <w:t>坚持立德树人根本任务，落实习近平新时代中国特色社会主义思想进教材、进课堂、进头脑，健全党政领导干部为师生讲思政课常态化机制，建立齐抓共管思政课建设工作制度，加大思政课教师队伍建设力度和思政课程实施力度，切实办好思政课，引导学生扣好人生第一粒扣子。充分发挥全市红色资源的教育作用，开设红色文化校本课程，组织学生到红色基地参观学习，推进红色教育进校园、进课堂、进师生头脑，促使青少年学生自觉弘扬革命传统、传承红色基因。强化大中小学生国防教育和军事实践活动。通过信息化等手段，探索学生、家长、教师以及社区等参与评价的有效方式，客观记录学生品行日常表现和突出表现，特别是践行社会主义核心价值观情况，将其作为学生综合素质评价的重要内容。</w:t>
      </w:r>
    </w:p>
    <w:p>
      <w:pPr>
        <w:pStyle w:val="36"/>
        <w:spacing w:line="540" w:lineRule="exact"/>
        <w:outlineLvl w:val="2"/>
      </w:pPr>
      <w:bookmarkStart w:id="79" w:name="_Toc66660406"/>
      <w:bookmarkStart w:id="80" w:name="_Toc90281421"/>
      <w:r>
        <w:rPr>
          <w:rFonts w:hint="eastAsia"/>
        </w:rPr>
        <w:t>2</w:t>
      </w:r>
      <w:r>
        <w:t>.</w:t>
      </w:r>
      <w:r>
        <w:rPr>
          <w:rFonts w:hint="eastAsia"/>
        </w:rPr>
        <w:t>加强未成年人思想道德建设</w:t>
      </w:r>
      <w:bookmarkEnd w:id="79"/>
      <w:bookmarkEnd w:id="80"/>
    </w:p>
    <w:p>
      <w:pPr>
        <w:pStyle w:val="32"/>
        <w:spacing w:line="540" w:lineRule="exact"/>
      </w:pPr>
      <w:r>
        <w:rPr>
          <w:rFonts w:hint="eastAsia"/>
        </w:rPr>
        <w:t>加强爱国主义、集体主义、社会主义、理想信念、道德品质、民主法制和网络安全等教育，开展校园欺凌专项整治，加强心理教师队伍建设，引进第三方机构联合开展心理健康教育咨询，各类学校开足开齐体育课，加强学生的体质监测，增强学生的体质，积极构建学校、家庭、社会“三位一体”的教育体系，为青少年健康成长营造良好环境。</w:t>
      </w:r>
    </w:p>
    <w:p>
      <w:pPr>
        <w:pStyle w:val="34"/>
        <w:spacing w:line="540" w:lineRule="exact"/>
        <w:outlineLvl w:val="1"/>
      </w:pPr>
      <w:bookmarkStart w:id="81" w:name="_Toc66660407"/>
      <w:bookmarkStart w:id="82" w:name="_Toc90281422"/>
      <w:r>
        <w:rPr>
          <w:rFonts w:hint="eastAsia"/>
        </w:rPr>
        <w:t>（七）实施教师能力提升工程</w:t>
      </w:r>
      <w:bookmarkEnd w:id="81"/>
      <w:bookmarkEnd w:id="82"/>
    </w:p>
    <w:p>
      <w:pPr>
        <w:pStyle w:val="36"/>
        <w:spacing w:line="540" w:lineRule="exact"/>
        <w:outlineLvl w:val="2"/>
      </w:pPr>
      <w:bookmarkStart w:id="83" w:name="_Toc66660408"/>
      <w:bookmarkStart w:id="84" w:name="_Toc90281423"/>
      <w:r>
        <w:rPr>
          <w:rFonts w:hint="eastAsia"/>
        </w:rPr>
        <w:t>1</w:t>
      </w:r>
      <w:r>
        <w:t>.</w:t>
      </w:r>
      <w:r>
        <w:rPr>
          <w:rFonts w:hint="eastAsia"/>
        </w:rPr>
        <w:t>着力提高教师队伍整体素质</w:t>
      </w:r>
      <w:bookmarkEnd w:id="83"/>
      <w:bookmarkEnd w:id="84"/>
    </w:p>
    <w:p>
      <w:pPr>
        <w:pStyle w:val="32"/>
        <w:spacing w:line="540" w:lineRule="exact"/>
      </w:pPr>
      <w:r>
        <w:rPr>
          <w:rFonts w:hint="eastAsia"/>
        </w:rPr>
        <w:t>通过“招聘一批、引进一批、培训一批、培养一批”，切实促进教师队伍数量和质量双提升。加大教师招聘、引进力度，根据每年各学段新增加学位情况，逐年按省定标准配备教师，计划“十四五”期间，新招聘、引进教师共</w:t>
      </w:r>
      <w:r>
        <w:t>5826人，其中幼儿园大专以上学历教师2257</w:t>
      </w:r>
      <w:r>
        <w:rPr>
          <w:rFonts w:hint="eastAsia"/>
        </w:rPr>
        <w:t>人，小学本科以上学历</w:t>
      </w:r>
      <w:r>
        <w:t>1997人，初中本科以上学历教师985人，高中（中职）研究生学历以上教师272人、本科以上学历教师315人。</w:t>
      </w:r>
      <w:r>
        <w:rPr>
          <w:rFonts w:hint="eastAsia"/>
        </w:rPr>
        <w:t>落实省公费定向师范生培养计划，每年定向培养150名教师。实施全市中小学教师学历提升计划，对参加专科学历提升学习的幼儿园教师由市财政给予4000元补助；对参加本科学历提升的教师在汕尾市补助</w:t>
      </w:r>
      <w:r>
        <w:t>2000元的基础上，由陆丰市财政再补助2000元；</w:t>
      </w:r>
      <w:r>
        <w:rPr>
          <w:rFonts w:hint="eastAsia"/>
        </w:rPr>
        <w:t>对参加研究生学历提升的教师在汕尾市补助</w:t>
      </w:r>
      <w:r>
        <w:t>20000元的基础上，由陆丰市财政再补助10000元。</w:t>
      </w:r>
      <w:r>
        <w:rPr>
          <w:rFonts w:hint="eastAsia"/>
        </w:rPr>
        <w:t>以教师发展中心为阵地，举办跟岗式、体验式培训，着力提高教师培训质量。积极鼓励广大教师参加省教育厅“双融双创”强师工程网上培训学习，提升教师教育信息化和现代化应用技能水平。加大教师培训经费投入，实施革命老区教师全员轮训工程，力争三年完成全市教师全员轮训工作。实施中小学名教师和名班主任、学科带头人、中青年骨干教师培养工程，建设市、县名教师、名班主任工作室。每三年由市教育部门遴选30个县级名工作室主持人，其中名校长工作室主持人5名，名班主任工作室主持人10名，名教师工作室主持人15名，由市财政给予5万元工作经费。加强编制统筹和转岗管理。通过转岗调剂、转岗分流、转岗招聘等措施，解决各级各类教师资源不足问题。</w:t>
      </w:r>
    </w:p>
    <w:p>
      <w:pPr>
        <w:pStyle w:val="36"/>
        <w:spacing w:line="540" w:lineRule="exact"/>
        <w:outlineLvl w:val="2"/>
      </w:pPr>
      <w:bookmarkStart w:id="85" w:name="_Toc90281424"/>
      <w:bookmarkStart w:id="86" w:name="_Toc66660409"/>
      <w:r>
        <w:rPr>
          <w:rFonts w:hint="eastAsia"/>
        </w:rPr>
        <w:t>2</w:t>
      </w:r>
      <w:r>
        <w:t>.</w:t>
      </w:r>
      <w:r>
        <w:rPr>
          <w:rFonts w:hint="eastAsia"/>
        </w:rPr>
        <w:t>着力提升校长能力水平</w:t>
      </w:r>
      <w:bookmarkEnd w:id="85"/>
      <w:bookmarkEnd w:id="86"/>
    </w:p>
    <w:p>
      <w:pPr>
        <w:pStyle w:val="32"/>
        <w:spacing w:line="540" w:lineRule="exact"/>
      </w:pPr>
      <w:r>
        <w:rPr>
          <w:rFonts w:hint="eastAsia"/>
        </w:rPr>
        <w:t>优化顶层设计。建立校长选拔和培养长效机制，进行梯度培养，有序选拔；实施卓越校长培养计划，增强名校长工作室的辐射引领作用，发挥市内优秀校长的榜样示范作用；编制校长能力提升行动计划，完善校长培训制度、着重加强小学校长的任职资格培训、提高培训和高级研修、促进校长的岗位能力和岗位素养的提升，逐步实现学校治理体系和治理能力的现代化。搭建成长平台。用好深圳对口帮扶汕尾政策，每年争取深圳选派一批名校长到陆丰挂驻帮扶，服务时限不少于3年；每年选派一批陆丰校长、副校长或中层干部到深圳跟岗研修，把学到的好思路、好方法带回陆丰，并因校制宜地运用到学校管理中，借脑借力发展。完善校长考核评价机制。严格执行《陆丰市中小学校长退出领导岗位实施办法》，落实校长退出机制，加强对校长队伍管理。健全完善中小学校长绩效考核和岗位考核办法，严格考核评价程序，将《义务教育学校管理标准》等专业标准作为校长管理学校、提升专业发展水平的重要依据，加强对全市中小学正副校长的绩效和岗位考核，继续对年度考核合格及以上等次的校长给予奖励并延伸到副校长。坚持能者上、庸者下、平者让的人才选拔任用方式，进一步调动和激发校长队伍的积极性、主动性、开拓性和创造性，让想干事、能干事的人才选拔出来。建立储备干部人才库，加强后备人员培训，并派到外地挂职1年，合格的列入校长选拔人才库。</w:t>
      </w:r>
    </w:p>
    <w:p>
      <w:pPr>
        <w:pStyle w:val="36"/>
        <w:spacing w:line="540" w:lineRule="exact"/>
        <w:outlineLvl w:val="2"/>
      </w:pPr>
      <w:bookmarkStart w:id="87" w:name="_Toc66660410"/>
      <w:bookmarkStart w:id="88" w:name="_Toc90281425"/>
      <w:r>
        <w:rPr>
          <w:rFonts w:hint="eastAsia"/>
        </w:rPr>
        <w:t>3</w:t>
      </w:r>
      <w:r>
        <w:t>.</w:t>
      </w:r>
      <w:r>
        <w:rPr>
          <w:rFonts w:hint="eastAsia"/>
        </w:rPr>
        <w:t>持续加强师德师风建设</w:t>
      </w:r>
      <w:bookmarkEnd w:id="87"/>
      <w:bookmarkEnd w:id="88"/>
    </w:p>
    <w:p>
      <w:pPr>
        <w:pStyle w:val="32"/>
        <w:spacing w:line="540" w:lineRule="exact"/>
      </w:pPr>
      <w:r>
        <w:rPr>
          <w:rFonts w:hint="eastAsia"/>
        </w:rPr>
        <w:t>坚持把师德师风作为第一标准，突出教育教学实绩，把师德表现作为教师资格定期注册、业绩考核、职称评聘、评优奖励首要要求，把认真履行教育教学职责作为评价教师的基本要求，完善教师考核评价体系，制订出台教师年终绩效奖金考核指导意见，奖勤罚懒，进一步调动教师教书育人的积极性。健全完善师德教育。加强职业理想、职业道德和相关法律法规教育，建立新入职教师宣誓制度，突出正面引导，引导广大教师自觉践行中小学教师职业道德规范；加强社会主义核心价值观教育、理想信念教育、法制教育和诚信教育，引导教师牢固树立依法治教、依法执教意识，树立教师廉洁从教、潜心育人的自觉意识，着力培养和提升教师师德素养。加强师德模范宣传。大力挖掘并宣传全市“‘四有’好教师”“优秀教师”“优秀班主任”“优秀教育工作者”等先进典型，开展多种形式的表扬奖励宣传活动，充分展现当代教师的精神风貌，宣传高尚师德，弘扬主旋律，增强正能量，在全社会形成尊师重教的浓厚氛围，激发教师的职业认同感和幸福感。完善师德考核评价制度。建立家长、学生、社会共同参与的综合测评考核办法，客观、公正、公平地对教师师德师风问题进行评价；科学使用考核结果，将师德考核作为教师绩效和业务考核的核心内容，在教师职务晋升、职称评审、评优奖励等工作中实行“一票否决制”，促使教师自觉维护良好师德形象。完善违规惩处制度，规范教师从教行为。严格执行教师坐班制，持续开展师德师风明查暗访，加大对违规行为的惩处力度。对违反职业道德行为的，依照有关规定，视情节轻重分别给予党纪或政纪处分；对危害严重、影响恶劣的，坚决清除出教师队伍。严厉查处违规补课、有偿补课行为，营造风清气正的育人环境。建立师德师风信用体系。推行师德考核负面清单制度，完善教师个人信用记录和失信惩戒机制，着力解决师德失范、师风不正、信用缺失等问题。</w:t>
      </w:r>
    </w:p>
    <w:p>
      <w:pPr>
        <w:pStyle w:val="34"/>
        <w:spacing w:line="540" w:lineRule="exact"/>
        <w:outlineLvl w:val="1"/>
      </w:pPr>
      <w:bookmarkStart w:id="89" w:name="_Toc66660411"/>
      <w:bookmarkStart w:id="90" w:name="_Toc90281426"/>
      <w:r>
        <w:rPr>
          <w:rFonts w:hint="eastAsia"/>
        </w:rPr>
        <w:t>（八）实施信息化融合创新工程</w:t>
      </w:r>
      <w:bookmarkEnd w:id="89"/>
      <w:bookmarkEnd w:id="90"/>
    </w:p>
    <w:p>
      <w:pPr>
        <w:pStyle w:val="36"/>
        <w:spacing w:line="540" w:lineRule="exact"/>
        <w:outlineLvl w:val="2"/>
      </w:pPr>
      <w:bookmarkStart w:id="91" w:name="_Toc66660412"/>
      <w:bookmarkStart w:id="92" w:name="_Toc90281427"/>
      <w:r>
        <w:rPr>
          <w:rFonts w:hint="eastAsia"/>
        </w:rPr>
        <w:t>1</w:t>
      </w:r>
      <w:r>
        <w:t>.</w:t>
      </w:r>
      <w:r>
        <w:rPr>
          <w:rFonts w:hint="eastAsia"/>
        </w:rPr>
        <w:t>推进信息技术与教育管理应用融合发展</w:t>
      </w:r>
      <w:bookmarkEnd w:id="91"/>
      <w:bookmarkEnd w:id="92"/>
    </w:p>
    <w:p>
      <w:pPr>
        <w:pStyle w:val="32"/>
        <w:spacing w:line="540" w:lineRule="exact"/>
      </w:pPr>
      <w:r>
        <w:rPr>
          <w:rFonts w:hint="eastAsia"/>
        </w:rPr>
        <w:t>落实国家、省教育信息化2.0行动计划和教师信息技术应用能力提升工程2.0实施意见的要求，推动全市中小学教师主动适应信息化、人工智能等新技术变革，进一步提升全市教师信息技术应用能力，全面促进我市中小学信息技术与教学融合创新发展，确保教育教学质量得到进一步提高。聚焦课程、教学、评价、教育治理等关键环节，优化教育大数据服务系统，完善教育大数据管理、共享机制，打造市教育资源公共服务平台，推进教育大数据应用、校园安全管理、视频监控系统、市高考定点考场视频监控平台及视频会议系统、明厨亮灶、智慧教务管理、云阅卷应用、学生入学报名收费管理等实行信息化管理。</w:t>
      </w:r>
    </w:p>
    <w:p>
      <w:pPr>
        <w:pStyle w:val="36"/>
        <w:spacing w:line="540" w:lineRule="exact"/>
        <w:outlineLvl w:val="2"/>
      </w:pPr>
      <w:bookmarkStart w:id="93" w:name="_Toc66660413"/>
      <w:bookmarkStart w:id="94" w:name="_Toc90281428"/>
      <w:r>
        <w:rPr>
          <w:rFonts w:hint="eastAsia"/>
        </w:rPr>
        <w:t>2</w:t>
      </w:r>
      <w:r>
        <w:t>.</w:t>
      </w:r>
      <w:r>
        <w:rPr>
          <w:rFonts w:hint="eastAsia"/>
        </w:rPr>
        <w:t>推进基础教育教学与信息化融合创新发展</w:t>
      </w:r>
      <w:bookmarkEnd w:id="93"/>
      <w:bookmarkEnd w:id="94"/>
    </w:p>
    <w:p>
      <w:pPr>
        <w:pStyle w:val="32"/>
        <w:spacing w:line="540" w:lineRule="exact"/>
      </w:pPr>
      <w:r>
        <w:rPr>
          <w:rFonts w:hint="eastAsia"/>
        </w:rPr>
        <w:t>推进智慧教育、多技术融合教育教学模式，推动线上直播互动课堂、同步课堂、AI教育教学测评等教学应用。建成8个市级智慧校园示范校，培育6所市级现代化标杆学校，打造北师大助力汕尾基础教育陆丰项目、语文主题学习项目，确立1个“爱种子”教学改革项目实验区，选取不少于10所试点学校，全市义务教育国家课程数字教材规模化进入常态化应用。</w:t>
      </w:r>
    </w:p>
    <w:p>
      <w:pPr>
        <w:pStyle w:val="5"/>
        <w:spacing w:before="100" w:beforeAutospacing="1" w:after="100" w:afterAutospacing="1" w:line="560" w:lineRule="exact"/>
        <w:jc w:val="center"/>
        <w:rPr>
          <w:rFonts w:ascii="楷体_GB2312" w:hAnsi="楷体" w:eastAsia="楷体_GB2312" w:cs="楷体"/>
          <w:b w:val="0"/>
          <w:bCs w:val="0"/>
          <w:sz w:val="30"/>
          <w:szCs w:val="30"/>
        </w:rPr>
      </w:pPr>
      <w:bookmarkStart w:id="95" w:name="_Toc90281429"/>
      <w:r>
        <w:rPr>
          <w:rFonts w:hint="eastAsia" w:ascii="楷体_GB2312" w:eastAsia="楷体_GB2312"/>
          <w:b w:val="0"/>
          <w:bCs w:val="0"/>
          <w:sz w:val="30"/>
          <w:szCs w:val="30"/>
        </w:rPr>
        <w:t>表</w:t>
      </w:r>
      <w:r>
        <w:rPr>
          <w:rFonts w:ascii="楷体_GB2312" w:eastAsia="楷体_GB2312"/>
          <w:b w:val="0"/>
          <w:bCs w:val="0"/>
          <w:sz w:val="30"/>
          <w:szCs w:val="30"/>
        </w:rPr>
        <w:t>5</w:t>
      </w:r>
      <w:r>
        <w:rPr>
          <w:rFonts w:hint="eastAsia" w:ascii="楷体_GB2312" w:hAnsi="楷体" w:eastAsia="楷体_GB2312" w:cs="楷体"/>
          <w:b w:val="0"/>
          <w:bCs w:val="0"/>
          <w:sz w:val="30"/>
          <w:szCs w:val="30"/>
        </w:rPr>
        <w:t>“十四五”期间陆丰市信息化建设规划表</w:t>
      </w:r>
      <w:bookmarkEnd w:id="95"/>
    </w:p>
    <w:tbl>
      <w:tblPr>
        <w:tblStyle w:val="21"/>
        <w:tblW w:w="8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58"/>
        <w:gridCol w:w="5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04" w:type="dxa"/>
            <w:shd w:val="clear" w:color="auto" w:fill="D8D8D8" w:themeFill="background1" w:themeFillShade="D9"/>
            <w:vAlign w:val="center"/>
          </w:tcPr>
          <w:p>
            <w:pPr>
              <w:pStyle w:val="32"/>
              <w:spacing w:line="240" w:lineRule="auto"/>
              <w:ind w:firstLine="0"/>
              <w:jc w:val="center"/>
              <w:rPr>
                <w:rFonts w:ascii="宋体" w:hAnsi="宋体" w:eastAsia="宋体"/>
                <w:b/>
                <w:bCs w:val="0"/>
                <w:sz w:val="21"/>
                <w:szCs w:val="21"/>
              </w:rPr>
            </w:pPr>
            <w:r>
              <w:rPr>
                <w:rFonts w:hint="eastAsia" w:ascii="宋体" w:hAnsi="宋体" w:eastAsia="宋体"/>
                <w:b/>
                <w:bCs w:val="0"/>
                <w:sz w:val="21"/>
                <w:szCs w:val="21"/>
              </w:rPr>
              <w:t>序号</w:t>
            </w:r>
          </w:p>
        </w:tc>
        <w:tc>
          <w:tcPr>
            <w:tcW w:w="2358" w:type="dxa"/>
            <w:shd w:val="clear" w:color="auto" w:fill="D8D8D8" w:themeFill="background1" w:themeFillShade="D9"/>
            <w:vAlign w:val="center"/>
          </w:tcPr>
          <w:p>
            <w:pPr>
              <w:pStyle w:val="32"/>
              <w:spacing w:line="240" w:lineRule="auto"/>
              <w:ind w:firstLine="0"/>
              <w:jc w:val="center"/>
              <w:rPr>
                <w:rFonts w:ascii="宋体" w:hAnsi="宋体" w:eastAsia="宋体"/>
                <w:b/>
                <w:bCs w:val="0"/>
                <w:sz w:val="21"/>
                <w:szCs w:val="21"/>
              </w:rPr>
            </w:pPr>
            <w:r>
              <w:rPr>
                <w:rFonts w:hint="eastAsia" w:ascii="宋体" w:hAnsi="宋体" w:eastAsia="宋体"/>
                <w:b/>
                <w:bCs w:val="0"/>
                <w:sz w:val="21"/>
                <w:szCs w:val="21"/>
              </w:rPr>
              <w:t>类 别</w:t>
            </w:r>
          </w:p>
        </w:tc>
        <w:tc>
          <w:tcPr>
            <w:tcW w:w="5852" w:type="dxa"/>
            <w:shd w:val="clear" w:color="auto" w:fill="D8D8D8" w:themeFill="background1" w:themeFillShade="D9"/>
            <w:vAlign w:val="center"/>
          </w:tcPr>
          <w:p>
            <w:pPr>
              <w:pStyle w:val="32"/>
              <w:spacing w:line="240" w:lineRule="auto"/>
              <w:ind w:firstLine="0"/>
              <w:jc w:val="center"/>
              <w:rPr>
                <w:rFonts w:ascii="宋体" w:hAnsi="宋体" w:eastAsia="宋体"/>
                <w:b/>
                <w:bCs w:val="0"/>
                <w:sz w:val="21"/>
                <w:szCs w:val="21"/>
              </w:rPr>
            </w:pPr>
            <w:r>
              <w:rPr>
                <w:rFonts w:hint="eastAsia" w:ascii="宋体" w:hAnsi="宋体" w:eastAsia="宋体"/>
                <w:b/>
                <w:bCs w:val="0"/>
                <w:sz w:val="21"/>
                <w:szCs w:val="21"/>
              </w:rPr>
              <w:t>建 设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704" w:type="dxa"/>
            <w:vAlign w:val="center"/>
          </w:tcPr>
          <w:p>
            <w:pPr>
              <w:pStyle w:val="32"/>
              <w:spacing w:line="240" w:lineRule="auto"/>
              <w:ind w:firstLine="0"/>
              <w:jc w:val="center"/>
              <w:rPr>
                <w:rFonts w:ascii="宋体" w:hAnsi="宋体" w:eastAsia="宋体"/>
                <w:sz w:val="21"/>
                <w:szCs w:val="21"/>
              </w:rPr>
            </w:pPr>
            <w:r>
              <w:rPr>
                <w:rFonts w:ascii="宋体" w:hAnsi="宋体" w:eastAsia="宋体"/>
                <w:sz w:val="21"/>
                <w:szCs w:val="21"/>
              </w:rPr>
              <w:t>1</w:t>
            </w:r>
          </w:p>
        </w:tc>
        <w:tc>
          <w:tcPr>
            <w:tcW w:w="2358" w:type="dxa"/>
            <w:vAlign w:val="center"/>
          </w:tcPr>
          <w:p>
            <w:pPr>
              <w:pStyle w:val="32"/>
              <w:spacing w:line="240" w:lineRule="auto"/>
              <w:ind w:firstLine="0"/>
              <w:rPr>
                <w:rFonts w:ascii="宋体" w:hAnsi="宋体" w:eastAsia="宋体"/>
                <w:sz w:val="21"/>
                <w:szCs w:val="21"/>
              </w:rPr>
            </w:pPr>
            <w:r>
              <w:rPr>
                <w:rFonts w:hint="eastAsia" w:ascii="宋体" w:hAnsi="宋体" w:eastAsia="宋体"/>
                <w:sz w:val="21"/>
                <w:szCs w:val="21"/>
              </w:rPr>
              <w:t>中小学信息化建设项目（“三通两平台”、智慧校园、教育教学资源平台、网络提升工程等）</w:t>
            </w:r>
          </w:p>
        </w:tc>
        <w:tc>
          <w:tcPr>
            <w:tcW w:w="5852" w:type="dxa"/>
            <w:vAlign w:val="center"/>
          </w:tcPr>
          <w:p>
            <w:pPr>
              <w:pStyle w:val="32"/>
              <w:spacing w:line="240" w:lineRule="auto"/>
              <w:ind w:firstLine="0"/>
              <w:rPr>
                <w:rFonts w:ascii="宋体" w:hAnsi="宋体" w:eastAsia="宋体"/>
                <w:sz w:val="21"/>
                <w:szCs w:val="21"/>
              </w:rPr>
            </w:pPr>
            <w:r>
              <w:rPr>
                <w:rFonts w:hint="eastAsia" w:ascii="宋体" w:hAnsi="宋体" w:eastAsia="宋体"/>
                <w:sz w:val="21"/>
                <w:szCs w:val="21"/>
              </w:rPr>
              <w:t>配备优质资源“班班通”设备3000套，录播系统150套；建设5G+智慧校园20所；建设中小学数字图书馆150间；更新计算机网络教室200间。投入资金3.8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04" w:type="dxa"/>
            <w:vAlign w:val="center"/>
          </w:tcPr>
          <w:p>
            <w:pPr>
              <w:pStyle w:val="32"/>
              <w:spacing w:line="240" w:lineRule="auto"/>
              <w:ind w:firstLine="0"/>
              <w:jc w:val="center"/>
              <w:rPr>
                <w:rFonts w:ascii="宋体" w:hAnsi="宋体" w:eastAsia="宋体"/>
                <w:sz w:val="21"/>
                <w:szCs w:val="21"/>
              </w:rPr>
            </w:pPr>
            <w:r>
              <w:rPr>
                <w:rFonts w:ascii="宋体" w:hAnsi="宋体" w:eastAsia="宋体"/>
                <w:sz w:val="21"/>
                <w:szCs w:val="21"/>
              </w:rPr>
              <w:t>2</w:t>
            </w:r>
          </w:p>
        </w:tc>
        <w:tc>
          <w:tcPr>
            <w:tcW w:w="2358" w:type="dxa"/>
            <w:vAlign w:val="center"/>
          </w:tcPr>
          <w:p>
            <w:pPr>
              <w:pStyle w:val="32"/>
              <w:spacing w:line="240" w:lineRule="auto"/>
              <w:ind w:firstLine="0"/>
              <w:rPr>
                <w:rFonts w:ascii="宋体" w:hAnsi="宋体" w:eastAsia="宋体"/>
                <w:sz w:val="21"/>
                <w:szCs w:val="21"/>
              </w:rPr>
            </w:pPr>
            <w:r>
              <w:rPr>
                <w:rFonts w:hint="eastAsia" w:ascii="宋体" w:hAnsi="宋体" w:eastAsia="宋体"/>
                <w:sz w:val="21"/>
                <w:szCs w:val="21"/>
              </w:rPr>
              <w:t>中小学（幼儿园）实验室建设和教育装备建设项目</w:t>
            </w:r>
          </w:p>
        </w:tc>
        <w:tc>
          <w:tcPr>
            <w:tcW w:w="5852" w:type="dxa"/>
            <w:vAlign w:val="center"/>
          </w:tcPr>
          <w:p>
            <w:pPr>
              <w:pStyle w:val="32"/>
              <w:spacing w:line="240" w:lineRule="auto"/>
              <w:ind w:firstLine="0"/>
              <w:rPr>
                <w:rFonts w:ascii="宋体" w:hAnsi="宋体" w:eastAsia="宋体"/>
                <w:sz w:val="21"/>
                <w:szCs w:val="21"/>
              </w:rPr>
            </w:pPr>
            <w:r>
              <w:rPr>
                <w:rFonts w:hint="eastAsia" w:ascii="宋体" w:hAnsi="宋体" w:eastAsia="宋体"/>
                <w:sz w:val="21"/>
                <w:szCs w:val="21"/>
              </w:rPr>
              <w:t>完成全市中小学（幼儿园）实验室、功能室和各种仪器设备实施配套，满足国家课程教育、教学的需要。配备中小学实验室 165  间，功能室365间，地理园、生物园40个等；建设中学数字化物理、化学、生物实验操作考试使用室30 间；充实中小学教学仪器设备设施和图书。投入资金1.8 亿元。</w:t>
            </w:r>
          </w:p>
        </w:tc>
      </w:tr>
    </w:tbl>
    <w:p>
      <w:pPr>
        <w:pStyle w:val="34"/>
        <w:spacing w:line="560" w:lineRule="exact"/>
        <w:ind w:firstLine="646"/>
        <w:outlineLvl w:val="1"/>
      </w:pPr>
      <w:bookmarkStart w:id="96" w:name="_Toc90281430"/>
      <w:bookmarkStart w:id="97" w:name="_Toc66660414"/>
    </w:p>
    <w:p>
      <w:pPr>
        <w:pStyle w:val="34"/>
        <w:spacing w:line="560" w:lineRule="exact"/>
        <w:ind w:firstLine="646"/>
        <w:outlineLvl w:val="1"/>
      </w:pPr>
    </w:p>
    <w:p>
      <w:pPr>
        <w:pStyle w:val="34"/>
        <w:spacing w:line="560" w:lineRule="exact"/>
        <w:ind w:firstLine="646"/>
        <w:outlineLvl w:val="1"/>
      </w:pPr>
      <w:r>
        <w:rPr>
          <w:rFonts w:hint="eastAsia"/>
        </w:rPr>
        <w:t>（九）建立健全现代化教育督导体系</w:t>
      </w:r>
      <w:bookmarkEnd w:id="96"/>
      <w:bookmarkEnd w:id="97"/>
    </w:p>
    <w:p>
      <w:pPr>
        <w:pStyle w:val="36"/>
        <w:spacing w:line="560" w:lineRule="exact"/>
        <w:outlineLvl w:val="2"/>
      </w:pPr>
      <w:bookmarkStart w:id="98" w:name="_Toc66660415"/>
      <w:bookmarkStart w:id="99" w:name="_Toc90281431"/>
      <w:r>
        <w:rPr>
          <w:rFonts w:hint="eastAsia"/>
        </w:rPr>
        <w:t>1</w:t>
      </w:r>
      <w:r>
        <w:t>.</w:t>
      </w:r>
      <w:r>
        <w:rPr>
          <w:rFonts w:hint="eastAsia"/>
        </w:rPr>
        <w:t>落实责任督学挂牌督导制度</w:t>
      </w:r>
      <w:bookmarkEnd w:id="98"/>
      <w:bookmarkEnd w:id="99"/>
    </w:p>
    <w:p>
      <w:pPr>
        <w:pStyle w:val="32"/>
      </w:pPr>
      <w:r>
        <w:rPr>
          <w:rFonts w:hint="eastAsia"/>
        </w:rPr>
        <w:t>建设一支数量充足、结构合理、业务精湛、廉洁高效、专兼职结合的督学队伍，促进督学队伍专业化发展，聘请督学责任区责任督学，完善责任督学挂牌督导机制，建立完善督学培训制度，促进督学管理科学化、规范化、专业化。将责任督学的考核结果纳入年度考核，将优秀责任督学纳入教育部门年度表彰，对年度考核不称职的责任督学，取消其督学资格并予以解聘。</w:t>
      </w:r>
    </w:p>
    <w:p>
      <w:pPr>
        <w:pStyle w:val="36"/>
        <w:spacing w:line="560" w:lineRule="exact"/>
        <w:outlineLvl w:val="2"/>
      </w:pPr>
      <w:bookmarkStart w:id="100" w:name="_Toc66660416"/>
      <w:bookmarkStart w:id="101" w:name="_Toc90281432"/>
      <w:r>
        <w:rPr>
          <w:rFonts w:hint="eastAsia"/>
        </w:rPr>
        <w:t>2</w:t>
      </w:r>
      <w:r>
        <w:t>.</w:t>
      </w:r>
      <w:r>
        <w:rPr>
          <w:rFonts w:hint="eastAsia"/>
        </w:rPr>
        <w:t>健全教育督导机制</w:t>
      </w:r>
      <w:bookmarkEnd w:id="100"/>
      <w:bookmarkEnd w:id="101"/>
    </w:p>
    <w:p>
      <w:pPr>
        <w:pStyle w:val="34"/>
        <w:spacing w:line="560" w:lineRule="exact"/>
        <w:rPr>
          <w:rFonts w:ascii="仿宋_GB2312" w:eastAsia="仿宋_GB2312"/>
          <w:b w:val="0"/>
          <w:bCs w:val="0"/>
        </w:rPr>
      </w:pPr>
      <w:bookmarkStart w:id="102" w:name="_Toc66660417"/>
      <w:r>
        <w:rPr>
          <w:rFonts w:hint="eastAsia" w:ascii="仿宋_GB2312" w:eastAsia="仿宋_GB2312"/>
          <w:b w:val="0"/>
          <w:bCs w:val="0"/>
        </w:rPr>
        <w:t>健全督导报告发布、结果公告、整改复查和问责制度，有效推动教育热点难点问题解决。实行教育督导约谈、限期整改和复查制度，建立督导评估“回头看”制度，让学校工作在督导过程中切实得到改进，促进学校自我调节、自我完善、自我发展。通过督导评价的结果应用，强化教育督导的导向和激励功能，加强教育资源优化配置，让教育督导“长牙齿”，促进学校坚持质量核心，实现教育向优质均衡高质量发展迈进。</w:t>
      </w:r>
    </w:p>
    <w:p>
      <w:pPr>
        <w:pStyle w:val="34"/>
        <w:spacing w:line="560" w:lineRule="exact"/>
        <w:outlineLvl w:val="1"/>
      </w:pPr>
      <w:bookmarkStart w:id="103" w:name="_Toc90281433"/>
      <w:r>
        <w:rPr>
          <w:rFonts w:hint="eastAsia"/>
        </w:rPr>
        <w:t>（十）构建终身教育体系工程</w:t>
      </w:r>
      <w:bookmarkEnd w:id="102"/>
      <w:bookmarkEnd w:id="103"/>
    </w:p>
    <w:p>
      <w:pPr>
        <w:pStyle w:val="32"/>
      </w:pPr>
      <w:r>
        <w:rPr>
          <w:rFonts w:hint="eastAsia"/>
        </w:rPr>
        <w:t>完善镇社区学校、村（居）社区教育站工作职责、学员守则等制度，进一步强化社区教育机构建设，完善全民终身学习机制。依托镇社区学校、村（居）社区教育站和“陆丰市社区教育网”，广泛开展各类教育培训和学习活动，推动全民终身学习和学习型社会建设，重点发展老年教育，加强各类学习组织建设，不断提升市民的文化素养和幸福指数。进一步建设好市社区学院、镇场区社区学校、村（居）委社区教育站等社区教育阵地，使之全面开展社区教育活动。充实陆丰市社区教育网课程资源，发挥其远程教育作用，扩大社区教育开展面。积极推进体育馆、爱国主义教育基地、学生综合实践基地等全民终身学习的场馆建设。</w:t>
      </w:r>
    </w:p>
    <w:p>
      <w:pPr>
        <w:pStyle w:val="31"/>
        <w:spacing w:line="560" w:lineRule="exact"/>
        <w:outlineLvl w:val="0"/>
      </w:pPr>
      <w:bookmarkStart w:id="104" w:name="_Toc66622276"/>
      <w:bookmarkStart w:id="105" w:name="_Toc90281434"/>
      <w:bookmarkStart w:id="106" w:name="_Toc66660418"/>
      <w:r>
        <w:rPr>
          <w:rFonts w:hint="eastAsia"/>
        </w:rPr>
        <w:t>四</w:t>
      </w:r>
      <w:r>
        <w:t>、</w:t>
      </w:r>
      <w:r>
        <w:rPr>
          <w:rFonts w:hint="eastAsia"/>
        </w:rPr>
        <w:t>组织和保障</w:t>
      </w:r>
      <w:bookmarkEnd w:id="104"/>
      <w:bookmarkEnd w:id="105"/>
      <w:bookmarkEnd w:id="106"/>
    </w:p>
    <w:p>
      <w:pPr>
        <w:pStyle w:val="34"/>
        <w:spacing w:line="560" w:lineRule="exact"/>
        <w:outlineLvl w:val="1"/>
      </w:pPr>
      <w:bookmarkStart w:id="107" w:name="_Toc66660419"/>
      <w:bookmarkStart w:id="108" w:name="_Toc66622277"/>
      <w:bookmarkStart w:id="109" w:name="_Toc90281435"/>
      <w:r>
        <w:rPr>
          <w:rFonts w:hint="eastAsia"/>
        </w:rPr>
        <w:t>（一）强化组织领导</w:t>
      </w:r>
      <w:bookmarkEnd w:id="107"/>
      <w:bookmarkEnd w:id="108"/>
      <w:bookmarkEnd w:id="109"/>
    </w:p>
    <w:p>
      <w:pPr>
        <w:pStyle w:val="32"/>
      </w:pPr>
      <w:r>
        <w:rPr>
          <w:rFonts w:hint="eastAsia"/>
        </w:rPr>
        <w:t>全面从严治党，强化基层党组织党建主业意识，加强教育系统</w:t>
      </w:r>
      <w:r>
        <w:t>基层党组织建设，推进构建区域化大党建工作。强化中小学党组织在学校工作中的政治核心作用，积极探索民办学校党组织发挥作用的途径和方法。加强学校领导班子和干部队伍建设，认真做好青年教师和大学生党员发展工作，充分发挥党组织在教育改革发展中的领导核心作用和党员的先锋模范作用。落实党风廉政建设主体责任和监督责任。推进作风建设长效机制，强化权力运行制约和监督。加大对违法违纪行为的查处力度。建设</w:t>
      </w:r>
      <w:r>
        <w:rPr>
          <w:rFonts w:hint="eastAsia"/>
        </w:rPr>
        <w:t>廉政风险防控平台，探索建立重点领域和关键环节的风险防控机制。</w:t>
      </w:r>
    </w:p>
    <w:p>
      <w:pPr>
        <w:pStyle w:val="34"/>
        <w:spacing w:line="560" w:lineRule="exact"/>
        <w:outlineLvl w:val="1"/>
      </w:pPr>
      <w:bookmarkStart w:id="110" w:name="_Toc66660420"/>
      <w:bookmarkStart w:id="111" w:name="_Toc66622281"/>
      <w:bookmarkStart w:id="112" w:name="_Toc90281436"/>
      <w:r>
        <w:rPr>
          <w:rFonts w:hint="eastAsia"/>
        </w:rPr>
        <w:t>（二）加强统筹协调</w:t>
      </w:r>
      <w:bookmarkEnd w:id="110"/>
      <w:bookmarkEnd w:id="111"/>
      <w:bookmarkEnd w:id="112"/>
    </w:p>
    <w:p>
      <w:pPr>
        <w:pStyle w:val="32"/>
      </w:pPr>
      <w:r>
        <w:rPr>
          <w:rFonts w:hint="eastAsia"/>
        </w:rPr>
        <w:t>全市各级党委、政府和有关部门要明确管理职责，切实履行职能，认真落实本规划的各项政策措施，各司其职，形成齐抓共管的良好局面。各有关部门要加强协调合作，采取联合调研、部门会商等方式，共同研究解决教育改革与发展中的重大问题，为教育改革发展创造条件，在资金、土地以及教职工编制、职称评聘、岗位设置等关键问题上，出台针对性强、实操性好的政策措施。要提高教师政治地位、社会地位和职业地位，要强化教育领域宣传，为规划实施营造良好氛围，形成全社会尊师重教的浓厚氛围。</w:t>
      </w:r>
    </w:p>
    <w:p>
      <w:pPr>
        <w:pStyle w:val="34"/>
        <w:spacing w:line="560" w:lineRule="exact"/>
        <w:outlineLvl w:val="1"/>
      </w:pPr>
      <w:bookmarkStart w:id="113" w:name="_Toc66660421"/>
      <w:bookmarkStart w:id="114" w:name="_Toc90281437"/>
      <w:bookmarkStart w:id="115" w:name="_Toc66622282"/>
      <w:r>
        <w:rPr>
          <w:rFonts w:hint="eastAsia"/>
        </w:rPr>
        <w:t>（三）加强规划实施评估</w:t>
      </w:r>
      <w:bookmarkEnd w:id="113"/>
      <w:bookmarkEnd w:id="114"/>
      <w:bookmarkEnd w:id="115"/>
    </w:p>
    <w:p>
      <w:pPr>
        <w:pStyle w:val="32"/>
      </w:pPr>
      <w:r>
        <w:rPr>
          <w:rFonts w:hint="eastAsia"/>
        </w:rPr>
        <w:t>建立规划实施过程监测和结果公告制度，增强教育发展信息化水平与公众参与度。组织专业力量对本规划实施情况进行跟踪监测，及时对规划中的专项内容和整体内容进行定量和定性分析，及时向社会通报规划实施的年度监测报告和中期评估报告。完善考核机制和问责制度。强化政府督导部门对规划实施的督政督学职能，探索建立第三方社会力量参与的多元评估机制。广泛收集社会各方的反馈意见，为科学实施规划和决策参考提供重要依据。</w:t>
      </w:r>
    </w:p>
    <w:p>
      <w:pPr>
        <w:pStyle w:val="32"/>
        <w:sectPr>
          <w:footerReference r:id="rId6" w:type="default"/>
          <w:footerReference r:id="rId7" w:type="even"/>
          <w:pgSz w:w="11906" w:h="16838"/>
          <w:pgMar w:top="1440" w:right="1463" w:bottom="1440" w:left="1519" w:header="851" w:footer="992" w:gutter="0"/>
          <w:pgNumType w:fmt="numberInDash" w:start="1"/>
          <w:cols w:space="720" w:num="1"/>
          <w:docGrid w:type="lines" w:linePitch="312" w:charSpace="0"/>
        </w:sectPr>
      </w:pPr>
    </w:p>
    <w:p>
      <w:pPr>
        <w:widowControl/>
        <w:jc w:val="left"/>
        <w:rPr>
          <w:rFonts w:ascii="方正小标宋简体" w:hAnsi="仿宋" w:eastAsia="方正小标宋简体" w:cs="仿宋"/>
          <w:bCs/>
          <w:sz w:val="32"/>
          <w:szCs w:val="32"/>
        </w:rPr>
      </w:pPr>
      <w:bookmarkStart w:id="116" w:name="_Toc90281438"/>
      <w:r>
        <w:rPr>
          <w:rFonts w:ascii="方正小标宋简体" w:eastAsia="方正小标宋简体"/>
        </w:rPr>
        <w:br w:type="page"/>
      </w:r>
    </w:p>
    <w:p>
      <w:pPr>
        <w:pStyle w:val="32"/>
        <w:ind w:firstLine="0"/>
        <w:outlineLvl w:val="0"/>
        <w:rPr>
          <w:rFonts w:ascii="方正小标宋简体" w:eastAsia="方正小标宋简体"/>
        </w:rPr>
      </w:pPr>
      <w:r>
        <w:rPr>
          <w:rFonts w:hint="eastAsia" w:ascii="方正小标宋简体" w:eastAsia="方正小标宋简体"/>
        </w:rPr>
        <w:t>附表</w:t>
      </w:r>
      <w:bookmarkEnd w:id="116"/>
    </w:p>
    <w:p>
      <w:pPr>
        <w:pStyle w:val="32"/>
        <w:spacing w:line="520" w:lineRule="exact"/>
        <w:ind w:firstLine="0"/>
        <w:jc w:val="center"/>
        <w:outlineLvl w:val="1"/>
        <w:rPr>
          <w:rFonts w:ascii="楷体_GB2312" w:eastAsia="楷体_GB2312"/>
        </w:rPr>
      </w:pPr>
      <w:bookmarkStart w:id="117" w:name="_Toc90281439"/>
      <w:bookmarkStart w:id="118" w:name="RANGE!A1:G62"/>
      <w:r>
        <w:rPr>
          <w:rFonts w:hint="eastAsia" w:ascii="楷体_GB2312" w:eastAsia="楷体_GB2312"/>
        </w:rPr>
        <w:t>附表1：“十四五”期间陆丰市</w:t>
      </w:r>
      <w:bookmarkEnd w:id="117"/>
    </w:p>
    <w:p>
      <w:pPr>
        <w:pStyle w:val="32"/>
        <w:spacing w:line="520" w:lineRule="exact"/>
        <w:ind w:firstLine="0"/>
        <w:jc w:val="center"/>
        <w:outlineLvl w:val="1"/>
        <w:rPr>
          <w:rFonts w:ascii="楷体_GB2312" w:eastAsia="楷体_GB2312"/>
        </w:rPr>
      </w:pPr>
      <w:bookmarkStart w:id="119" w:name="_Toc90281440"/>
      <w:r>
        <w:rPr>
          <w:rFonts w:hint="eastAsia" w:ascii="楷体_GB2312" w:eastAsia="楷体_GB2312"/>
        </w:rPr>
        <w:t>各镇公立幼儿园学位供给及建设规划情况表</w:t>
      </w:r>
      <w:bookmarkEnd w:id="118"/>
      <w:bookmarkEnd w:id="119"/>
    </w:p>
    <w:tbl>
      <w:tblPr>
        <w:tblStyle w:val="20"/>
        <w:tblW w:w="9634" w:type="dxa"/>
        <w:jc w:val="center"/>
        <w:tblInd w:w="0" w:type="dxa"/>
        <w:tblLayout w:type="fixed"/>
        <w:tblCellMar>
          <w:top w:w="0" w:type="dxa"/>
          <w:left w:w="108" w:type="dxa"/>
          <w:bottom w:w="0" w:type="dxa"/>
          <w:right w:w="108" w:type="dxa"/>
        </w:tblCellMar>
      </w:tblPr>
      <w:tblGrid>
        <w:gridCol w:w="714"/>
        <w:gridCol w:w="1691"/>
        <w:gridCol w:w="2126"/>
        <w:gridCol w:w="1560"/>
        <w:gridCol w:w="1134"/>
        <w:gridCol w:w="1134"/>
        <w:gridCol w:w="1275"/>
      </w:tblGrid>
      <w:tr>
        <w:tblPrEx>
          <w:tblLayout w:type="fixed"/>
          <w:tblCellMar>
            <w:top w:w="0" w:type="dxa"/>
            <w:left w:w="108" w:type="dxa"/>
            <w:bottom w:w="0" w:type="dxa"/>
            <w:right w:w="108" w:type="dxa"/>
          </w:tblCellMar>
        </w:tblPrEx>
        <w:trPr>
          <w:trHeight w:val="659" w:hRule="atLeast"/>
          <w:jc w:val="center"/>
        </w:trPr>
        <w:tc>
          <w:tcPr>
            <w:tcW w:w="71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1691"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r>
              <w:rPr>
                <w:rFonts w:hint="eastAsia" w:ascii="宋体" w:hAnsi="宋体" w:cs="宋体"/>
                <w:b/>
                <w:bCs/>
                <w:kern w:val="0"/>
                <w:szCs w:val="21"/>
              </w:rPr>
              <w:t>镇属</w:t>
            </w:r>
          </w:p>
        </w:tc>
        <w:tc>
          <w:tcPr>
            <w:tcW w:w="2126"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r>
              <w:rPr>
                <w:rFonts w:hint="eastAsia" w:ascii="宋体" w:hAnsi="宋体" w:cs="宋体"/>
                <w:b/>
                <w:bCs/>
                <w:kern w:val="0"/>
                <w:szCs w:val="21"/>
              </w:rPr>
              <w:t>村名</w:t>
            </w:r>
          </w:p>
        </w:tc>
        <w:tc>
          <w:tcPr>
            <w:tcW w:w="1560"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jc w:val="center"/>
              <w:rPr>
                <w:rFonts w:ascii="宋体" w:hAnsi="宋体" w:cs="宋体"/>
                <w:b/>
                <w:bCs/>
                <w:kern w:val="0"/>
                <w:szCs w:val="21"/>
              </w:rPr>
            </w:pPr>
            <w:r>
              <w:rPr>
                <w:rFonts w:hint="eastAsia" w:ascii="宋体" w:hAnsi="宋体" w:cs="宋体"/>
                <w:b/>
                <w:bCs/>
                <w:kern w:val="0"/>
                <w:szCs w:val="21"/>
              </w:rPr>
              <w:t>户籍人口总数</w:t>
            </w:r>
          </w:p>
          <w:p>
            <w:pPr>
              <w:jc w:val="center"/>
              <w:rPr>
                <w:rFonts w:ascii="宋体" w:hAnsi="宋体" w:cs="宋体"/>
                <w:b/>
                <w:bCs/>
                <w:kern w:val="0"/>
                <w:szCs w:val="21"/>
              </w:rPr>
            </w:pPr>
            <w:r>
              <w:rPr>
                <w:rFonts w:hint="eastAsia" w:ascii="宋体" w:hAnsi="宋体" w:cs="宋体"/>
                <w:b/>
                <w:bCs/>
                <w:kern w:val="0"/>
                <w:szCs w:val="21"/>
              </w:rPr>
              <w:t>（人）</w:t>
            </w:r>
          </w:p>
        </w:tc>
        <w:tc>
          <w:tcPr>
            <w:tcW w:w="1134"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jc w:val="center"/>
              <w:rPr>
                <w:rFonts w:ascii="宋体" w:hAnsi="宋体" w:cs="宋体"/>
                <w:b/>
                <w:bCs/>
                <w:kern w:val="0"/>
                <w:szCs w:val="21"/>
              </w:rPr>
            </w:pPr>
            <w:r>
              <w:rPr>
                <w:rFonts w:hint="eastAsia" w:ascii="宋体" w:hAnsi="宋体" w:cs="宋体"/>
                <w:b/>
                <w:bCs/>
                <w:kern w:val="0"/>
                <w:szCs w:val="21"/>
              </w:rPr>
              <w:t>新增学位</w:t>
            </w:r>
          </w:p>
          <w:p>
            <w:pPr>
              <w:jc w:val="center"/>
              <w:rPr>
                <w:rFonts w:ascii="宋体" w:hAnsi="宋体" w:cs="宋体"/>
                <w:b/>
                <w:bCs/>
                <w:kern w:val="0"/>
                <w:szCs w:val="21"/>
              </w:rPr>
            </w:pPr>
            <w:r>
              <w:rPr>
                <w:rFonts w:hint="eastAsia" w:ascii="宋体" w:hAnsi="宋体" w:cs="宋体"/>
                <w:b/>
                <w:bCs/>
                <w:kern w:val="0"/>
                <w:szCs w:val="21"/>
              </w:rPr>
              <w:t>（个）</w:t>
            </w:r>
          </w:p>
        </w:tc>
        <w:tc>
          <w:tcPr>
            <w:tcW w:w="1134"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jc w:val="center"/>
              <w:rPr>
                <w:rFonts w:ascii="宋体" w:hAnsi="宋体" w:cs="宋体"/>
                <w:b/>
                <w:bCs/>
                <w:kern w:val="0"/>
                <w:szCs w:val="21"/>
              </w:rPr>
            </w:pPr>
            <w:r>
              <w:rPr>
                <w:rFonts w:hint="eastAsia" w:ascii="宋体" w:hAnsi="宋体" w:cs="宋体"/>
                <w:b/>
                <w:bCs/>
                <w:kern w:val="0"/>
                <w:szCs w:val="21"/>
              </w:rPr>
              <w:t>计划投资</w:t>
            </w:r>
          </w:p>
          <w:p>
            <w:pPr>
              <w:jc w:val="center"/>
              <w:rPr>
                <w:rFonts w:ascii="宋体" w:hAnsi="宋体" w:cs="宋体"/>
                <w:b/>
                <w:bCs/>
                <w:kern w:val="0"/>
                <w:szCs w:val="21"/>
              </w:rPr>
            </w:pPr>
            <w:r>
              <w:rPr>
                <w:rFonts w:hint="eastAsia" w:ascii="宋体" w:hAnsi="宋体" w:cs="宋体"/>
                <w:b/>
                <w:bCs/>
                <w:kern w:val="0"/>
                <w:szCs w:val="21"/>
              </w:rPr>
              <w:t>（万元）</w:t>
            </w:r>
          </w:p>
        </w:tc>
        <w:tc>
          <w:tcPr>
            <w:tcW w:w="1275"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r>
              <w:rPr>
                <w:rFonts w:hint="eastAsia" w:ascii="宋体" w:hAnsi="宋体" w:cs="宋体"/>
                <w:b/>
                <w:bCs/>
                <w:kern w:val="0"/>
                <w:szCs w:val="21"/>
              </w:rPr>
              <w:t>备 注</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博美镇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图美村委会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045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博美镇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花城村委会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990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博美镇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溪乾村委会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498</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博美镇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仙桥村委会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045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博美镇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4所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660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980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5</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城东街道</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淡水村委会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100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6</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城东街道</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军潭村委会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926</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城东街道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2所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360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080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7</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大安镇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翰田村委会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027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8</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大安镇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陆军村委会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900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大安镇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2所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300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900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9</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东海街道</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龙光村委会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732</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200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10</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东海街道</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行政新区园</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800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东海街道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2所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200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8</w:t>
            </w:r>
            <w:r>
              <w:rPr>
                <w:rFonts w:ascii="宋体" w:hAnsi="宋体" w:cs="宋体"/>
                <w:b/>
                <w:bCs/>
                <w:kern w:val="0"/>
                <w:szCs w:val="21"/>
              </w:rPr>
              <w:t>,</w:t>
            </w:r>
            <w:r>
              <w:rPr>
                <w:rFonts w:hint="eastAsia" w:ascii="宋体" w:hAnsi="宋体" w:cs="宋体"/>
                <w:b/>
                <w:bCs/>
                <w:kern w:val="0"/>
                <w:szCs w:val="21"/>
              </w:rPr>
              <w:t>000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11</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河东镇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后坎村委</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12</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河东镇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浮洲村委会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11</w:t>
            </w:r>
            <w:r>
              <w:rPr>
                <w:rFonts w:ascii="宋体" w:hAnsi="宋体" w:cs="宋体"/>
                <w:kern w:val="0"/>
                <w:szCs w:val="21"/>
              </w:rPr>
              <w:t>,</w:t>
            </w:r>
            <w:r>
              <w:rPr>
                <w:rFonts w:hint="eastAsia" w:ascii="宋体" w:hAnsi="宋体" w:cs="宋体"/>
                <w:kern w:val="0"/>
                <w:szCs w:val="21"/>
              </w:rPr>
              <w:t>580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河东镇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2所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530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590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13</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湖东镇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定壮村委会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654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14</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湖东镇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华美村委会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885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15</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湖东镇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长湖村委会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733</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湖东镇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3所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480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440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16</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新兴村委会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028</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17</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可湖村委会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w:t>
            </w:r>
            <w:r>
              <w:rPr>
                <w:rFonts w:ascii="宋体" w:hAnsi="宋体" w:cs="宋体"/>
                <w:kern w:val="0"/>
                <w:szCs w:val="21"/>
              </w:rPr>
              <w:t>,</w:t>
            </w:r>
            <w:r>
              <w:rPr>
                <w:rFonts w:hint="eastAsia" w:ascii="宋体" w:hAnsi="宋体" w:cs="宋体"/>
                <w:kern w:val="0"/>
                <w:szCs w:val="21"/>
              </w:rPr>
              <w:t>500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200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18</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甲东镇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三甲工业园区幼儿园</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3000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甲东镇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3所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950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4</w:t>
            </w:r>
            <w:r>
              <w:rPr>
                <w:rFonts w:ascii="宋体" w:hAnsi="宋体" w:cs="宋体"/>
                <w:b/>
                <w:bCs/>
                <w:kern w:val="0"/>
                <w:szCs w:val="21"/>
              </w:rPr>
              <w:t>,</w:t>
            </w:r>
            <w:r>
              <w:rPr>
                <w:rFonts w:hint="eastAsia" w:ascii="宋体" w:hAnsi="宋体" w:cs="宋体"/>
                <w:b/>
                <w:bCs/>
                <w:kern w:val="0"/>
                <w:szCs w:val="21"/>
              </w:rPr>
              <w:t>050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19</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西山村委会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268</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20</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客楼村委会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097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21</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濠头村委会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087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22</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渔池村委会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817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23</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海甲村委会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815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24</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新寨村委会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064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25</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北池村委会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936</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26</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甲西镇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天湖村委会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509</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甲西镇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8所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290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3</w:t>
            </w:r>
            <w:r>
              <w:rPr>
                <w:rFonts w:ascii="宋体" w:hAnsi="宋体" w:cs="宋体"/>
                <w:b/>
                <w:bCs/>
                <w:kern w:val="0"/>
                <w:szCs w:val="21"/>
              </w:rPr>
              <w:t>,</w:t>
            </w:r>
            <w:r>
              <w:rPr>
                <w:rFonts w:hint="eastAsia" w:ascii="宋体" w:hAnsi="宋体" w:cs="宋体"/>
                <w:b/>
                <w:bCs/>
                <w:kern w:val="0"/>
                <w:szCs w:val="21"/>
              </w:rPr>
              <w:t>870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27</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新酉村委会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w:t>
            </w:r>
            <w:r>
              <w:rPr>
                <w:rFonts w:ascii="宋体" w:hAnsi="宋体" w:cs="宋体"/>
                <w:kern w:val="0"/>
                <w:szCs w:val="21"/>
              </w:rPr>
              <w:t>,</w:t>
            </w:r>
            <w:r>
              <w:rPr>
                <w:rFonts w:hint="eastAsia" w:ascii="宋体" w:hAnsi="宋体" w:cs="宋体"/>
                <w:kern w:val="0"/>
                <w:szCs w:val="21"/>
              </w:rPr>
              <w:t>680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28</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桂林村委会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11</w:t>
            </w:r>
            <w:r>
              <w:rPr>
                <w:rFonts w:ascii="宋体" w:hAnsi="宋体" w:cs="宋体"/>
                <w:kern w:val="0"/>
                <w:szCs w:val="21"/>
              </w:rPr>
              <w:t>,</w:t>
            </w:r>
            <w:r>
              <w:rPr>
                <w:rFonts w:hint="eastAsia" w:ascii="宋体" w:hAnsi="宋体" w:cs="宋体"/>
                <w:kern w:val="0"/>
                <w:szCs w:val="21"/>
              </w:rPr>
              <w:t>169</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29</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前堆村委会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327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30</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新布村委会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167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31</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碣石中心幼儿园</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800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碣石镇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5所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500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9</w:t>
            </w:r>
            <w:r>
              <w:rPr>
                <w:rFonts w:ascii="宋体" w:hAnsi="宋体" w:cs="宋体"/>
                <w:b/>
                <w:bCs/>
                <w:kern w:val="0"/>
                <w:szCs w:val="21"/>
              </w:rPr>
              <w:t>,</w:t>
            </w:r>
            <w:r>
              <w:rPr>
                <w:rFonts w:hint="eastAsia" w:ascii="宋体" w:hAnsi="宋体" w:cs="宋体"/>
                <w:b/>
                <w:bCs/>
                <w:kern w:val="0"/>
                <w:szCs w:val="21"/>
              </w:rPr>
              <w:t>500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32</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金厢镇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洲渚村委会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386</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金厢镇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1所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180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540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33</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西美村委会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210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34</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南安村委会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939</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35</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后径村委会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852</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36</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潭头村委会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369</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37</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北湖村委会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608</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38</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东桥村委会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010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360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39</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南塘镇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新区幼儿园</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000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南塘镇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7所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530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5</w:t>
            </w:r>
            <w:r>
              <w:rPr>
                <w:rFonts w:ascii="宋体" w:hAnsi="宋体" w:cs="宋体"/>
                <w:b/>
                <w:bCs/>
                <w:kern w:val="0"/>
                <w:szCs w:val="21"/>
              </w:rPr>
              <w:t>,</w:t>
            </w:r>
            <w:r>
              <w:rPr>
                <w:rFonts w:hint="eastAsia" w:ascii="宋体" w:hAnsi="宋体" w:cs="宋体"/>
                <w:b/>
                <w:bCs/>
                <w:kern w:val="0"/>
                <w:szCs w:val="21"/>
              </w:rPr>
              <w:t>790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40</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桥冲镇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白沙村委会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430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180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540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41</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桥冲镇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禾潭村委会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817</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450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42</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桥冲镇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东竹村委会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885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360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桥冲镇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3所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450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350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43</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潭西镇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深溪村委会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800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360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44</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潭西镇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恢丰村委会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830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120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360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45</w:t>
            </w: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潭西镇</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潭西村委会</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13</w:t>
            </w:r>
            <w:r>
              <w:rPr>
                <w:rFonts w:ascii="宋体" w:hAnsi="宋体" w:cs="宋体"/>
                <w:kern w:val="0"/>
                <w:szCs w:val="21"/>
              </w:rPr>
              <w:t>,</w:t>
            </w:r>
            <w:r>
              <w:rPr>
                <w:rFonts w:hint="eastAsia" w:ascii="宋体" w:hAnsi="宋体" w:cs="宋体"/>
                <w:kern w:val="0"/>
                <w:szCs w:val="21"/>
              </w:rPr>
              <w:t>430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300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Cs w:val="21"/>
              </w:rPr>
            </w:pPr>
            <w:r>
              <w:rPr>
                <w:rFonts w:hint="eastAsia" w:ascii="宋体" w:hAnsi="宋体" w:cs="宋体"/>
                <w:kern w:val="0"/>
                <w:szCs w:val="21"/>
              </w:rPr>
              <w:t>900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潭西镇 汇总</w:t>
            </w:r>
          </w:p>
        </w:tc>
        <w:tc>
          <w:tcPr>
            <w:tcW w:w="2126"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3所</w:t>
            </w:r>
          </w:p>
        </w:tc>
        <w:tc>
          <w:tcPr>
            <w:tcW w:w="1560"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540</w:t>
            </w:r>
          </w:p>
        </w:tc>
        <w:tc>
          <w:tcPr>
            <w:tcW w:w="1134" w:type="dxa"/>
            <w:tcBorders>
              <w:top w:val="nil"/>
              <w:left w:val="nil"/>
              <w:bottom w:val="single" w:color="auto" w:sz="4" w:space="0"/>
              <w:right w:val="single" w:color="auto" w:sz="4" w:space="0"/>
            </w:tcBorders>
            <w:shd w:val="clear" w:color="auto" w:fill="BEBEBE" w:themeFill="background1" w:themeFillShade="BF"/>
            <w:noWrap/>
            <w:vAlign w:val="center"/>
          </w:tcPr>
          <w:p>
            <w:pPr>
              <w:jc w:val="righ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620</w:t>
            </w:r>
          </w:p>
        </w:tc>
        <w:tc>
          <w:tcPr>
            <w:tcW w:w="1275" w:type="dxa"/>
            <w:tcBorders>
              <w:top w:val="nil"/>
              <w:left w:val="nil"/>
              <w:bottom w:val="single" w:color="auto" w:sz="4" w:space="0"/>
              <w:right w:val="single" w:color="auto" w:sz="4" w:space="0"/>
            </w:tcBorders>
            <w:shd w:val="clear" w:color="auto" w:fill="BEBEBE" w:themeFill="background1" w:themeFillShade="BF"/>
            <w:noWrap/>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21" w:hRule="atLeast"/>
          <w:jc w:val="center"/>
        </w:trPr>
        <w:tc>
          <w:tcPr>
            <w:tcW w:w="7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Cs w:val="21"/>
              </w:rPr>
            </w:pPr>
          </w:p>
        </w:tc>
        <w:tc>
          <w:tcPr>
            <w:tcW w:w="1691" w:type="dxa"/>
            <w:tcBorders>
              <w:top w:val="nil"/>
              <w:left w:val="nil"/>
              <w:bottom w:val="single" w:color="auto" w:sz="4" w:space="0"/>
              <w:right w:val="single" w:color="auto" w:sz="4" w:space="0"/>
            </w:tcBorders>
            <w:shd w:val="clear" w:color="auto" w:fill="auto"/>
            <w:noWrap/>
            <w:vAlign w:val="center"/>
          </w:tcPr>
          <w:p>
            <w:pPr>
              <w:rPr>
                <w:rFonts w:ascii="宋体" w:hAnsi="宋体" w:cs="宋体"/>
                <w:b/>
                <w:bCs/>
                <w:kern w:val="0"/>
                <w:szCs w:val="21"/>
              </w:rPr>
            </w:pPr>
            <w:r>
              <w:rPr>
                <w:rFonts w:hint="eastAsia" w:ascii="宋体" w:hAnsi="宋体" w:cs="宋体"/>
                <w:b/>
                <w:bCs/>
                <w:kern w:val="0"/>
                <w:szCs w:val="21"/>
              </w:rPr>
              <w:t>总计</w:t>
            </w:r>
          </w:p>
        </w:tc>
        <w:tc>
          <w:tcPr>
            <w:tcW w:w="2126" w:type="dxa"/>
            <w:tcBorders>
              <w:top w:val="nil"/>
              <w:left w:val="nil"/>
              <w:bottom w:val="single" w:color="auto" w:sz="4" w:space="0"/>
              <w:right w:val="single" w:color="auto" w:sz="4" w:space="0"/>
            </w:tcBorders>
            <w:shd w:val="clear" w:color="auto" w:fill="auto"/>
            <w:noWrap/>
            <w:vAlign w:val="center"/>
          </w:tcPr>
          <w:p>
            <w:pPr>
              <w:rPr>
                <w:rFonts w:ascii="宋体" w:hAnsi="宋体" w:cs="宋体"/>
                <w:b/>
                <w:bCs/>
                <w:kern w:val="0"/>
                <w:szCs w:val="21"/>
              </w:rPr>
            </w:pPr>
            <w:r>
              <w:rPr>
                <w:rFonts w:hint="eastAsia" w:ascii="宋体" w:hAnsi="宋体" w:cs="宋体"/>
                <w:b/>
                <w:bCs/>
                <w:kern w:val="0"/>
                <w:szCs w:val="21"/>
              </w:rPr>
              <w:t>45所</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b/>
                <w:bCs/>
                <w:kern w:val="0"/>
                <w:szCs w:val="21"/>
              </w:rPr>
            </w:pPr>
            <w:r>
              <w:rPr>
                <w:rFonts w:hint="eastAsia" w:ascii="宋体" w:hAnsi="宋体" w:cs="宋体"/>
                <w:b/>
                <w:bCs/>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b/>
                <w:bCs/>
                <w:kern w:val="0"/>
                <w:szCs w:val="21"/>
              </w:rPr>
            </w:pPr>
            <w:r>
              <w:rPr>
                <w:rFonts w:hint="eastAsia" w:ascii="宋体" w:hAnsi="宋体" w:cs="宋体"/>
                <w:b/>
                <w:bCs/>
                <w:kern w:val="0"/>
                <w:szCs w:val="21"/>
              </w:rPr>
              <w:t>9</w:t>
            </w:r>
            <w:r>
              <w:rPr>
                <w:rFonts w:ascii="宋体" w:hAnsi="宋体" w:cs="宋体"/>
                <w:b/>
                <w:bCs/>
                <w:kern w:val="0"/>
                <w:szCs w:val="21"/>
              </w:rPr>
              <w:t>,</w:t>
            </w:r>
            <w:r>
              <w:rPr>
                <w:rFonts w:hint="eastAsia" w:ascii="宋体" w:hAnsi="宋体" w:cs="宋体"/>
                <w:b/>
                <w:bCs/>
                <w:kern w:val="0"/>
                <w:szCs w:val="21"/>
              </w:rPr>
              <w:t>970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宋体" w:hAnsi="宋体" w:cs="宋体"/>
                <w:b/>
                <w:bCs/>
                <w:kern w:val="0"/>
                <w:szCs w:val="21"/>
              </w:rPr>
            </w:pPr>
            <w:r>
              <w:rPr>
                <w:rFonts w:hint="eastAsia" w:ascii="宋体" w:hAnsi="宋体" w:cs="宋体"/>
                <w:b/>
                <w:bCs/>
                <w:kern w:val="0"/>
                <w:szCs w:val="21"/>
              </w:rPr>
              <w:t>41</w:t>
            </w:r>
            <w:r>
              <w:rPr>
                <w:rFonts w:ascii="宋体" w:hAnsi="宋体" w:cs="宋体"/>
                <w:b/>
                <w:bCs/>
                <w:kern w:val="0"/>
                <w:szCs w:val="21"/>
              </w:rPr>
              <w:t>,</w:t>
            </w:r>
            <w:r>
              <w:rPr>
                <w:rFonts w:hint="eastAsia" w:ascii="宋体" w:hAnsi="宋体" w:cs="宋体"/>
                <w:b/>
                <w:bCs/>
                <w:kern w:val="0"/>
                <w:szCs w:val="21"/>
              </w:rPr>
              <w:t>710</w:t>
            </w:r>
          </w:p>
        </w:tc>
        <w:tc>
          <w:tcPr>
            <w:tcW w:w="1275" w:type="dxa"/>
            <w:tcBorders>
              <w:top w:val="nil"/>
              <w:left w:val="nil"/>
              <w:bottom w:val="single" w:color="auto" w:sz="4" w:space="0"/>
              <w:right w:val="single" w:color="auto" w:sz="4" w:space="0"/>
            </w:tcBorders>
            <w:shd w:val="clear" w:color="auto" w:fill="auto"/>
            <w:noWrap/>
            <w:vAlign w:val="center"/>
          </w:tcPr>
          <w:p>
            <w:pPr>
              <w:rPr>
                <w:rFonts w:ascii="宋体" w:hAnsi="宋体" w:cs="宋体"/>
                <w:b/>
                <w:bCs/>
                <w:kern w:val="0"/>
                <w:szCs w:val="21"/>
              </w:rPr>
            </w:pPr>
            <w:r>
              <w:rPr>
                <w:rFonts w:hint="eastAsia" w:ascii="宋体" w:hAnsi="宋体" w:cs="宋体"/>
                <w:b/>
                <w:bCs/>
                <w:kern w:val="0"/>
                <w:szCs w:val="21"/>
              </w:rPr>
              <w:t>　</w:t>
            </w:r>
          </w:p>
        </w:tc>
      </w:tr>
    </w:tbl>
    <w:p>
      <w:pPr>
        <w:pStyle w:val="32"/>
        <w:spacing w:before="156" w:beforeLines="50"/>
        <w:ind w:firstLine="0"/>
        <w:jc w:val="center"/>
        <w:outlineLvl w:val="1"/>
        <w:rPr>
          <w:rFonts w:ascii="楷体_GB2312" w:eastAsia="楷体_GB2312"/>
        </w:rPr>
        <w:sectPr>
          <w:pgSz w:w="11906" w:h="16838"/>
          <w:pgMar w:top="1440" w:right="1519" w:bottom="1440" w:left="1463" w:header="851" w:footer="992" w:gutter="0"/>
          <w:pgNumType w:fmt="numberInDash"/>
          <w:cols w:space="720" w:num="1"/>
          <w:docGrid w:type="lines" w:linePitch="312" w:charSpace="0"/>
        </w:sectPr>
      </w:pPr>
    </w:p>
    <w:p>
      <w:pPr>
        <w:pStyle w:val="32"/>
        <w:spacing w:before="156" w:beforeLines="50"/>
        <w:ind w:firstLine="0"/>
        <w:jc w:val="center"/>
        <w:outlineLvl w:val="1"/>
        <w:rPr>
          <w:rFonts w:ascii="楷体_GB2312" w:eastAsia="楷体_GB2312"/>
        </w:rPr>
      </w:pPr>
      <w:bookmarkStart w:id="120" w:name="_Toc90281441"/>
      <w:r>
        <w:rPr>
          <w:rFonts w:hint="eastAsia" w:ascii="楷体_GB2312" w:eastAsia="楷体_GB2312"/>
        </w:rPr>
        <w:t>附表2：“十四五”期间陆丰市各镇义务教育公办学位供给及建设规划情况表</w:t>
      </w:r>
      <w:bookmarkEnd w:id="120"/>
    </w:p>
    <w:tbl>
      <w:tblPr>
        <w:tblStyle w:val="20"/>
        <w:tblW w:w="14260" w:type="dxa"/>
        <w:jc w:val="center"/>
        <w:tblInd w:w="0" w:type="dxa"/>
        <w:tblLayout w:type="fixed"/>
        <w:tblCellMar>
          <w:top w:w="0" w:type="dxa"/>
          <w:left w:w="108" w:type="dxa"/>
          <w:bottom w:w="0" w:type="dxa"/>
          <w:right w:w="108" w:type="dxa"/>
        </w:tblCellMar>
      </w:tblPr>
      <w:tblGrid>
        <w:gridCol w:w="442"/>
        <w:gridCol w:w="894"/>
        <w:gridCol w:w="1837"/>
        <w:gridCol w:w="831"/>
        <w:gridCol w:w="734"/>
        <w:gridCol w:w="701"/>
        <w:gridCol w:w="707"/>
        <w:gridCol w:w="846"/>
        <w:gridCol w:w="846"/>
        <w:gridCol w:w="846"/>
        <w:gridCol w:w="872"/>
        <w:gridCol w:w="872"/>
        <w:gridCol w:w="872"/>
        <w:gridCol w:w="876"/>
        <w:gridCol w:w="951"/>
        <w:gridCol w:w="1133"/>
      </w:tblGrid>
      <w:tr>
        <w:tblPrEx>
          <w:tblLayout w:type="fixed"/>
          <w:tblCellMar>
            <w:top w:w="0" w:type="dxa"/>
            <w:left w:w="108" w:type="dxa"/>
            <w:bottom w:w="0" w:type="dxa"/>
            <w:right w:w="108" w:type="dxa"/>
          </w:tblCellMar>
        </w:tblPrEx>
        <w:trPr>
          <w:trHeight w:val="314" w:hRule="atLeast"/>
          <w:jc w:val="center"/>
        </w:trPr>
        <w:tc>
          <w:tcPr>
            <w:tcW w:w="6146" w:type="dxa"/>
            <w:gridSpan w:val="7"/>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 w:val="24"/>
                <w:szCs w:val="24"/>
              </w:rPr>
            </w:pPr>
            <w:r>
              <w:rPr>
                <w:rFonts w:hint="eastAsia" w:ascii="宋体" w:hAnsi="宋体" w:cs="宋体"/>
                <w:b/>
                <w:bCs/>
                <w:kern w:val="0"/>
                <w:sz w:val="24"/>
                <w:szCs w:val="24"/>
              </w:rPr>
              <w:t>基 本 信 息 情 况</w:t>
            </w:r>
          </w:p>
        </w:tc>
        <w:tc>
          <w:tcPr>
            <w:tcW w:w="8114" w:type="dxa"/>
            <w:gridSpan w:val="9"/>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 w:val="24"/>
                <w:szCs w:val="24"/>
              </w:rPr>
            </w:pPr>
            <w:r>
              <w:rPr>
                <w:rFonts w:hint="eastAsia" w:ascii="宋体" w:hAnsi="宋体" w:cs="宋体"/>
                <w:b/>
                <w:bCs/>
                <w:kern w:val="0"/>
                <w:sz w:val="24"/>
                <w:szCs w:val="24"/>
              </w:rPr>
              <w:t>规 划 情 况（2021-2025）</w:t>
            </w:r>
          </w:p>
        </w:tc>
      </w:tr>
      <w:tr>
        <w:tblPrEx>
          <w:tblLayout w:type="fixed"/>
          <w:tblCellMar>
            <w:top w:w="0" w:type="dxa"/>
            <w:left w:w="108" w:type="dxa"/>
            <w:bottom w:w="0" w:type="dxa"/>
            <w:right w:w="108" w:type="dxa"/>
          </w:tblCellMar>
        </w:tblPrEx>
        <w:trPr>
          <w:trHeight w:val="500" w:hRule="atLeast"/>
          <w:jc w:val="center"/>
        </w:trPr>
        <w:tc>
          <w:tcPr>
            <w:tcW w:w="6146" w:type="dxa"/>
            <w:gridSpan w:val="7"/>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114" w:type="dxa"/>
            <w:gridSpan w:val="9"/>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r>
      <w:tr>
        <w:tblPrEx>
          <w:tblLayout w:type="fixed"/>
          <w:tblCellMar>
            <w:top w:w="0" w:type="dxa"/>
            <w:left w:w="108" w:type="dxa"/>
            <w:bottom w:w="0" w:type="dxa"/>
            <w:right w:w="108" w:type="dxa"/>
          </w:tblCellMar>
        </w:tblPrEx>
        <w:trPr>
          <w:trHeight w:val="332" w:hRule="atLeast"/>
          <w:jc w:val="center"/>
        </w:trPr>
        <w:tc>
          <w:tcPr>
            <w:tcW w:w="44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镇 别</w:t>
            </w:r>
          </w:p>
        </w:tc>
        <w:tc>
          <w:tcPr>
            <w:tcW w:w="1837"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学校名称</w:t>
            </w:r>
          </w:p>
          <w:p>
            <w:pPr>
              <w:jc w:val="center"/>
              <w:rPr>
                <w:rFonts w:ascii="宋体" w:hAnsi="宋体" w:cs="宋体"/>
                <w:b/>
                <w:bCs/>
                <w:kern w:val="0"/>
                <w:szCs w:val="21"/>
              </w:rPr>
            </w:pPr>
            <w:r>
              <w:rPr>
                <w:rFonts w:hint="eastAsia" w:ascii="宋体" w:hAnsi="宋体" w:cs="宋体"/>
                <w:b/>
                <w:bCs/>
                <w:kern w:val="0"/>
                <w:sz w:val="18"/>
                <w:szCs w:val="18"/>
              </w:rPr>
              <w:t>（拟建学校名称）</w:t>
            </w:r>
          </w:p>
        </w:tc>
        <w:tc>
          <w:tcPr>
            <w:tcW w:w="83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学校建设性质</w:t>
            </w:r>
          </w:p>
        </w:tc>
        <w:tc>
          <w:tcPr>
            <w:tcW w:w="734"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学校类型</w:t>
            </w:r>
          </w:p>
        </w:tc>
        <w:tc>
          <w:tcPr>
            <w:tcW w:w="70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预计开工年份</w:t>
            </w:r>
          </w:p>
        </w:tc>
        <w:tc>
          <w:tcPr>
            <w:tcW w:w="707"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预计竣工年份</w:t>
            </w:r>
          </w:p>
        </w:tc>
        <w:tc>
          <w:tcPr>
            <w:tcW w:w="2538"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学位规划</w:t>
            </w:r>
          </w:p>
        </w:tc>
        <w:tc>
          <w:tcPr>
            <w:tcW w:w="3492"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计划投入资金</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计划投入资金</w:t>
            </w:r>
          </w:p>
        </w:tc>
        <w:tc>
          <w:tcPr>
            <w:tcW w:w="1133"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备 注</w:t>
            </w:r>
          </w:p>
        </w:tc>
      </w:tr>
      <w:tr>
        <w:tblPrEx>
          <w:tblLayout w:type="fixed"/>
          <w:tblCellMar>
            <w:top w:w="0" w:type="dxa"/>
            <w:left w:w="108" w:type="dxa"/>
            <w:bottom w:w="0" w:type="dxa"/>
            <w:right w:w="108" w:type="dxa"/>
          </w:tblCellMar>
        </w:tblPrEx>
        <w:trPr>
          <w:trHeight w:val="332" w:hRule="atLeast"/>
          <w:jc w:val="center"/>
        </w:trPr>
        <w:tc>
          <w:tcPr>
            <w:tcW w:w="44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9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183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3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3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4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规划新增学位合 计</w:t>
            </w:r>
          </w:p>
        </w:tc>
        <w:tc>
          <w:tcPr>
            <w:tcW w:w="1692"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计划新增学位</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征地款</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校舍建设资金</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运动场、校门、围墙资金</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设备设施资金</w:t>
            </w:r>
          </w:p>
        </w:tc>
        <w:tc>
          <w:tcPr>
            <w:tcW w:w="95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r>
      <w:tr>
        <w:tblPrEx>
          <w:tblLayout w:type="fixed"/>
          <w:tblCellMar>
            <w:top w:w="0" w:type="dxa"/>
            <w:left w:w="108" w:type="dxa"/>
            <w:bottom w:w="0" w:type="dxa"/>
            <w:right w:w="108" w:type="dxa"/>
          </w:tblCellMar>
        </w:tblPrEx>
        <w:trPr>
          <w:trHeight w:val="508" w:hRule="atLeast"/>
          <w:jc w:val="center"/>
        </w:trPr>
        <w:tc>
          <w:tcPr>
            <w:tcW w:w="44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9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183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3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3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46"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小学学 位</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初中学 位</w:t>
            </w:r>
          </w:p>
        </w:tc>
        <w:tc>
          <w:tcPr>
            <w:tcW w:w="87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7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7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r>
      <w:tr>
        <w:tblPrEx>
          <w:tblLayout w:type="fixed"/>
          <w:tblCellMar>
            <w:top w:w="0" w:type="dxa"/>
            <w:left w:w="108" w:type="dxa"/>
            <w:bottom w:w="0" w:type="dxa"/>
            <w:right w:w="108" w:type="dxa"/>
          </w:tblCellMar>
        </w:tblPrEx>
        <w:trPr>
          <w:trHeight w:val="289" w:hRule="atLeast"/>
          <w:jc w:val="center"/>
        </w:trPr>
        <w:tc>
          <w:tcPr>
            <w:tcW w:w="44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9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183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3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3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707"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个</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个</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个</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万元</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万元</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万元</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万元</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万元</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总 计</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51,250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37,950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13,300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38,000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98,300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19,050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26,500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181,850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东海镇 汇总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20,800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16,300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4,500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18,200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38,700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7,400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10,700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75,000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东海镇炎龙小学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2022</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东海镇中心小学新校区</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2022</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8,500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东海镇神冲小学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2022</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4</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东海镇逸夫小学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5</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龙山中学老校区</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1,600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6</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1,100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7</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20"/>
              </w:rPr>
              <w:t>行政新区初级中学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10,600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8</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东海镇龙辉中学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2,300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9</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东海镇向阳小学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700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2,300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720"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10</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20"/>
              </w:rPr>
              <w:t>行政新区实验小学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8,500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11</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东海镇周边新建学校A</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8,500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12</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东海镇周边新建学校B</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8,500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13</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东海镇周边新建学校C</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8,500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14</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东海镇周边新建学校D</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2,100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2,700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1,100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碣石镇 汇 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14,900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11,600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3,300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11,300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25,600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4,900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6,600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48,400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15</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碣石镇第二中学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1,700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16</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碣石镇第五中学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430"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17</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20"/>
              </w:rPr>
              <w:t>碣石镇中心新校区</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8,400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407"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18</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碣石镇碣南中学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2,400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19</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碣石龙湖学校</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2,200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碣石镇周边新建学校A</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8,400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859"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21</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碣石中学（改为九年制）</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原校区改为九年制，高中迁址新建。</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22</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碣石镇周边新建学校B</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10,200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23</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碣石镇周边新建学校C</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11,800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甲子镇  汇 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5,900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4,300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7,200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1,600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2,300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11,100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650"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24</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甲子镇中心小学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2022</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750</w:t>
            </w:r>
          </w:p>
        </w:tc>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甲子镇目前只缺欠小学公办学位，6所学校改扩建同全镇义务教育布局调整同步进行，以确保义务教育学位供给。</w:t>
            </w:r>
          </w:p>
        </w:tc>
      </w:tr>
      <w:tr>
        <w:tblPrEx>
          <w:tblLayout w:type="fixed"/>
          <w:tblCellMar>
            <w:top w:w="0" w:type="dxa"/>
            <w:left w:w="108" w:type="dxa"/>
            <w:bottom w:w="0" w:type="dxa"/>
            <w:right w:w="108" w:type="dxa"/>
          </w:tblCellMar>
        </w:tblPrEx>
        <w:trPr>
          <w:trHeight w:val="498"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25</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甲子镇瀛江学校</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2022</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26</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甲子中学附属实验初级中学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1,700</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27</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甲子镇第七小学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1,050</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Layout w:type="fixed"/>
          <w:tblCellMar>
            <w:top w:w="0" w:type="dxa"/>
            <w:left w:w="108" w:type="dxa"/>
            <w:bottom w:w="0" w:type="dxa"/>
            <w:right w:w="108" w:type="dxa"/>
          </w:tblCellMar>
        </w:tblPrEx>
        <w:trPr>
          <w:trHeight w:val="369"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28</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甲子镇第八小学（改为九年制）</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3,800</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Layout w:type="fixed"/>
          <w:tblCellMar>
            <w:top w:w="0" w:type="dxa"/>
            <w:left w:w="108" w:type="dxa"/>
            <w:bottom w:w="0" w:type="dxa"/>
            <w:right w:w="108" w:type="dxa"/>
          </w:tblCellMar>
        </w:tblPrEx>
        <w:trPr>
          <w:trHeight w:val="452"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29</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w:t>
            </w:r>
            <w:r>
              <w:rPr>
                <w:rFonts w:ascii="宋体" w:hAnsi="宋体"/>
                <w:kern w:val="0"/>
                <w:szCs w:val="21"/>
              </w:rPr>
              <w:t xml:space="preserve"> </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甲子镇第三中学（改为九年制）</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2,900</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内湖镇 汇  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620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620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1,100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30</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内湖镇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内湖中学（改为九年寄宿制学校）</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620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620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1,100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潭西镇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2,400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1,400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700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2,700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628"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31</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潭西镇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潭西中学（改为九年制）</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1,800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1,800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32</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潭西镇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潭西镇第二中学（改为九年制）</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金厢镇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450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450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33</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金厢镇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金厢中学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450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450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435"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大安镇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3,000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25,000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1933"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34</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大安镇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大安中学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迁址新建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25,000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吴远溪、吴</w:t>
            </w:r>
            <w:r>
              <w:rPr>
                <w:rFonts w:ascii="宋体" w:hAnsi="宋体"/>
                <w:kern w:val="0"/>
                <w:sz w:val="18"/>
                <w:szCs w:val="18"/>
              </w:rPr>
              <w:t xml:space="preserve"> </w:t>
            </w:r>
            <w:r>
              <w:rPr>
                <w:rFonts w:hint="eastAsia" w:ascii="宋体" w:hAnsi="宋体" w:cs="宋体"/>
                <w:kern w:val="0"/>
                <w:sz w:val="18"/>
                <w:szCs w:val="18"/>
              </w:rPr>
              <w:t>远港捐资新建，原老校区改为镇中心小学，增加小学学位600个。</w:t>
            </w:r>
          </w:p>
        </w:tc>
      </w:tr>
      <w:tr>
        <w:tblPrEx>
          <w:tblLayout w:type="fixed"/>
          <w:tblCellMar>
            <w:top w:w="0" w:type="dxa"/>
            <w:left w:w="108" w:type="dxa"/>
            <w:bottom w:w="0" w:type="dxa"/>
            <w:right w:w="108" w:type="dxa"/>
          </w:tblCellMar>
        </w:tblPrEx>
        <w:trPr>
          <w:trHeight w:val="150"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甲东镇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2,800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800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5,700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35</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甲东镇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新建三甲工业园区小学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2,800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5,700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湖东镇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1,400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1,800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450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550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2,800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36</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湖东镇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湖东中学（改为九年制学校）</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2,200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37</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湖东镇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湖东镇第二中学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南塘镇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2,100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900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900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1,000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7,500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38</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南塘镇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五峰中学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初中</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2024</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39</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南塘镇</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南塘镇中心小学新校区</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2026</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3,200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700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700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6,600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铜锣湖农场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230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230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40</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铜锣湖农场</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铜锣湖中心小学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小学</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230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230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89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Cs w:val="21"/>
              </w:rPr>
            </w:pPr>
            <w:r>
              <w:rPr>
                <w:rFonts w:hint="eastAsia" w:ascii="宋体" w:hAnsi="宋体" w:cs="宋体"/>
                <w:b/>
                <w:bCs/>
                <w:kern w:val="0"/>
                <w:szCs w:val="21"/>
              </w:rPr>
              <w:t xml:space="preserve">星都区 汇 </w:t>
            </w:r>
            <w:r>
              <w:rPr>
                <w:rFonts w:ascii="宋体" w:hAnsi="宋体" w:cs="宋体"/>
                <w:b/>
                <w:bCs/>
                <w:kern w:val="0"/>
                <w:szCs w:val="21"/>
              </w:rPr>
              <w:t xml:space="preserve"> </w:t>
            </w:r>
            <w:r>
              <w:rPr>
                <w:rFonts w:hint="eastAsia" w:ascii="宋体" w:hAnsi="宋体" w:cs="宋体"/>
                <w:b/>
                <w:bCs/>
                <w:kern w:val="0"/>
                <w:szCs w:val="21"/>
              </w:rPr>
              <w:t>总</w:t>
            </w:r>
          </w:p>
        </w:tc>
        <w:tc>
          <w:tcPr>
            <w:tcW w:w="183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cs="宋体"/>
                <w:kern w:val="0"/>
                <w:szCs w:val="21"/>
              </w:rPr>
            </w:pPr>
            <w:r>
              <w:rPr>
                <w:rFonts w:hint="eastAsia" w:ascii="宋体" w:hAnsi="宋体" w:cs="宋体"/>
                <w:kern w:val="0"/>
                <w:szCs w:val="21"/>
              </w:rPr>
              <w:t>　</w:t>
            </w:r>
          </w:p>
        </w:tc>
        <w:tc>
          <w:tcPr>
            <w:tcW w:w="83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c>
          <w:tcPr>
            <w:tcW w:w="70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7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kern w:val="0"/>
                <w:szCs w:val="21"/>
              </w:rPr>
            </w:pP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450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300</w:t>
            </w:r>
          </w:p>
        </w:tc>
        <w:tc>
          <w:tcPr>
            <w:tcW w:w="84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150</w:t>
            </w:r>
          </w:p>
        </w:tc>
        <w:tc>
          <w:tcPr>
            <w:tcW w:w="87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Cs w:val="21"/>
              </w:rPr>
            </w:pPr>
            <w:r>
              <w:rPr>
                <w:rFonts w:ascii="宋体" w:hAnsi="宋体"/>
                <w:kern w:val="0"/>
                <w:szCs w:val="21"/>
              </w:rPr>
              <w:t>950</w:t>
            </w:r>
          </w:p>
        </w:tc>
        <w:tc>
          <w:tcPr>
            <w:tcW w:w="113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rPr>
                <w:rFonts w:ascii="宋体" w:hAnsi="宋体"/>
                <w:kern w:val="0"/>
                <w:szCs w:val="21"/>
              </w:rPr>
            </w:pPr>
            <w:r>
              <w:rPr>
                <w:rFonts w:ascii="宋体" w:hAnsi="宋体"/>
                <w:kern w:val="0"/>
                <w:szCs w:val="21"/>
              </w:rPr>
              <w:t>　</w:t>
            </w:r>
          </w:p>
        </w:tc>
      </w:tr>
      <w:tr>
        <w:tblPrEx>
          <w:tblLayout w:type="fixed"/>
          <w:tblCellMar>
            <w:top w:w="0" w:type="dxa"/>
            <w:left w:w="108" w:type="dxa"/>
            <w:bottom w:w="0" w:type="dxa"/>
            <w:right w:w="108" w:type="dxa"/>
          </w:tblCellMar>
        </w:tblPrEx>
        <w:trPr>
          <w:trHeight w:val="544"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41</w:t>
            </w:r>
          </w:p>
        </w:tc>
        <w:tc>
          <w:tcPr>
            <w:tcW w:w="89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星都区</w:t>
            </w:r>
          </w:p>
        </w:tc>
        <w:tc>
          <w:tcPr>
            <w:tcW w:w="18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星都中心小学</w:t>
            </w:r>
          </w:p>
        </w:tc>
        <w:tc>
          <w:tcPr>
            <w:tcW w:w="83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73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 w:val="16"/>
                <w:szCs w:val="16"/>
              </w:rPr>
            </w:pPr>
            <w:r>
              <w:rPr>
                <w:rFonts w:hint="eastAsia" w:ascii="宋体" w:hAnsi="宋体" w:cs="宋体"/>
                <w:kern w:val="0"/>
                <w:sz w:val="16"/>
                <w:szCs w:val="16"/>
              </w:rPr>
              <w:t>九年制</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2023</w:t>
            </w:r>
          </w:p>
        </w:tc>
        <w:tc>
          <w:tcPr>
            <w:tcW w:w="7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2025</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450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300</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872"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w:t>
            </w:r>
          </w:p>
        </w:tc>
        <w:tc>
          <w:tcPr>
            <w:tcW w:w="876"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200</w:t>
            </w:r>
          </w:p>
        </w:tc>
        <w:tc>
          <w:tcPr>
            <w:tcW w:w="951" w:type="dxa"/>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950</w:t>
            </w:r>
          </w:p>
        </w:tc>
        <w:tc>
          <w:tcPr>
            <w:tcW w:w="113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r>
    </w:tbl>
    <w:p>
      <w:pPr>
        <w:pStyle w:val="32"/>
        <w:ind w:firstLine="0"/>
        <w:jc w:val="center"/>
        <w:rPr>
          <w:rFonts w:ascii="楷体_GB2312" w:eastAsia="楷体_GB2312"/>
        </w:rPr>
      </w:pPr>
    </w:p>
    <w:p>
      <w:pPr>
        <w:pStyle w:val="2"/>
        <w:rPr>
          <w:rFonts w:hAnsi="仿宋" w:cs="仿宋"/>
          <w:sz w:val="32"/>
          <w:szCs w:val="32"/>
        </w:rPr>
      </w:pPr>
      <w:r>
        <w:br w:type="page"/>
      </w:r>
    </w:p>
    <w:p>
      <w:pPr>
        <w:widowControl/>
        <w:jc w:val="left"/>
        <w:rPr>
          <w:rFonts w:ascii="楷体_GB2312" w:hAnsi="仿宋" w:eastAsia="楷体_GB2312" w:cs="仿宋"/>
          <w:bCs/>
          <w:sz w:val="32"/>
          <w:szCs w:val="32"/>
        </w:rPr>
      </w:pPr>
      <w:bookmarkStart w:id="121" w:name="_Toc90281442"/>
      <w:r>
        <w:rPr>
          <w:rFonts w:ascii="楷体_GB2312" w:eastAsia="楷体_GB2312"/>
        </w:rPr>
        <w:br w:type="page"/>
      </w:r>
    </w:p>
    <w:p>
      <w:pPr>
        <w:pStyle w:val="32"/>
        <w:ind w:firstLine="0"/>
        <w:jc w:val="center"/>
        <w:outlineLvl w:val="1"/>
        <w:rPr>
          <w:rFonts w:ascii="楷体_GB2312" w:eastAsia="楷体_GB2312"/>
        </w:rPr>
      </w:pPr>
      <w:r>
        <w:rPr>
          <w:rFonts w:hint="eastAsia" w:ascii="楷体_GB2312" w:eastAsia="楷体_GB2312"/>
        </w:rPr>
        <w:t>附表</w:t>
      </w:r>
      <w:r>
        <w:rPr>
          <w:rFonts w:ascii="楷体_GB2312" w:eastAsia="楷体_GB2312"/>
        </w:rPr>
        <w:t>3</w:t>
      </w:r>
      <w:r>
        <w:rPr>
          <w:rFonts w:hint="eastAsia" w:ascii="楷体_GB2312" w:eastAsia="楷体_GB2312"/>
        </w:rPr>
        <w:t>：“十四五”期间陆丰市高中公办学位供给及建设规划表</w:t>
      </w:r>
      <w:bookmarkEnd w:id="121"/>
    </w:p>
    <w:tbl>
      <w:tblPr>
        <w:tblStyle w:val="20"/>
        <w:tblW w:w="15206" w:type="dxa"/>
        <w:tblInd w:w="-147" w:type="dxa"/>
        <w:tblLayout w:type="fixed"/>
        <w:tblCellMar>
          <w:top w:w="0" w:type="dxa"/>
          <w:left w:w="108" w:type="dxa"/>
          <w:bottom w:w="0" w:type="dxa"/>
          <w:right w:w="108" w:type="dxa"/>
        </w:tblCellMar>
      </w:tblPr>
      <w:tblGrid>
        <w:gridCol w:w="568"/>
        <w:gridCol w:w="2409"/>
        <w:gridCol w:w="1067"/>
        <w:gridCol w:w="1060"/>
        <w:gridCol w:w="731"/>
        <w:gridCol w:w="686"/>
        <w:gridCol w:w="992"/>
        <w:gridCol w:w="851"/>
        <w:gridCol w:w="992"/>
        <w:gridCol w:w="1134"/>
        <w:gridCol w:w="992"/>
        <w:gridCol w:w="1276"/>
        <w:gridCol w:w="1701"/>
        <w:gridCol w:w="741"/>
        <w:gridCol w:w="6"/>
      </w:tblGrid>
      <w:tr>
        <w:tblPrEx>
          <w:tblLayout w:type="fixed"/>
          <w:tblCellMar>
            <w:top w:w="0" w:type="dxa"/>
            <w:left w:w="108" w:type="dxa"/>
            <w:bottom w:w="0" w:type="dxa"/>
            <w:right w:w="108" w:type="dxa"/>
          </w:tblCellMar>
        </w:tblPrEx>
        <w:trPr>
          <w:gridAfter w:val="2"/>
          <w:wAfter w:w="747" w:type="dxa"/>
          <w:trHeight w:val="319" w:hRule="atLeast"/>
        </w:trPr>
        <w:tc>
          <w:tcPr>
            <w:tcW w:w="6521" w:type="dxa"/>
            <w:gridSpan w:val="6"/>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 w:val="24"/>
                <w:szCs w:val="24"/>
              </w:rPr>
            </w:pPr>
            <w:r>
              <w:rPr>
                <w:rFonts w:hint="eastAsia" w:ascii="宋体" w:hAnsi="宋体" w:cs="宋体"/>
                <w:b/>
                <w:bCs/>
                <w:kern w:val="0"/>
                <w:sz w:val="24"/>
                <w:szCs w:val="24"/>
              </w:rPr>
              <w:t>基本信息情况</w:t>
            </w:r>
          </w:p>
        </w:tc>
        <w:tc>
          <w:tcPr>
            <w:tcW w:w="7938" w:type="dxa"/>
            <w:gridSpan w:val="7"/>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 w:val="24"/>
                <w:szCs w:val="24"/>
              </w:rPr>
            </w:pPr>
            <w:r>
              <w:rPr>
                <w:rFonts w:hint="eastAsia" w:ascii="宋体" w:hAnsi="宋体" w:cs="宋体"/>
                <w:b/>
                <w:bCs/>
                <w:kern w:val="0"/>
                <w:sz w:val="24"/>
                <w:szCs w:val="24"/>
              </w:rPr>
              <w:t>规划情况（2021-2025）</w:t>
            </w:r>
          </w:p>
        </w:tc>
      </w:tr>
      <w:tr>
        <w:tblPrEx>
          <w:tblLayout w:type="fixed"/>
          <w:tblCellMar>
            <w:top w:w="0" w:type="dxa"/>
            <w:left w:w="108" w:type="dxa"/>
            <w:bottom w:w="0" w:type="dxa"/>
            <w:right w:w="108" w:type="dxa"/>
          </w:tblCellMar>
        </w:tblPrEx>
        <w:trPr>
          <w:trHeight w:val="304" w:hRule="atLeast"/>
        </w:trPr>
        <w:tc>
          <w:tcPr>
            <w:tcW w:w="6521" w:type="dxa"/>
            <w:gridSpan w:val="6"/>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p>
        </w:tc>
        <w:tc>
          <w:tcPr>
            <w:tcW w:w="7938" w:type="dxa"/>
            <w:gridSpan w:val="7"/>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p>
        </w:tc>
        <w:tc>
          <w:tcPr>
            <w:tcW w:w="747" w:type="dxa"/>
            <w:gridSpan w:val="2"/>
            <w:tcBorders>
              <w:top w:val="nil"/>
              <w:left w:val="nil"/>
              <w:bottom w:val="nil"/>
              <w:right w:val="nil"/>
            </w:tcBorders>
            <w:shd w:val="clear" w:color="auto" w:fill="auto"/>
            <w:noWrap/>
            <w:vAlign w:val="center"/>
          </w:tcPr>
          <w:p>
            <w:pPr>
              <w:rPr>
                <w:rFonts w:ascii="仿宋_GB2312" w:hAnsi="宋体" w:eastAsia="仿宋_GB2312" w:cs="宋体"/>
                <w:b/>
                <w:bCs/>
                <w:kern w:val="0"/>
                <w:sz w:val="22"/>
                <w:szCs w:val="22"/>
              </w:rPr>
            </w:pPr>
          </w:p>
        </w:tc>
      </w:tr>
      <w:tr>
        <w:tblPrEx>
          <w:tblLayout w:type="fixed"/>
          <w:tblCellMar>
            <w:top w:w="0" w:type="dxa"/>
            <w:left w:w="108" w:type="dxa"/>
            <w:bottom w:w="0" w:type="dxa"/>
            <w:right w:w="108" w:type="dxa"/>
          </w:tblCellMar>
        </w:tblPrEx>
        <w:trPr>
          <w:gridAfter w:val="1"/>
          <w:wAfter w:w="6" w:type="dxa"/>
          <w:trHeight w:val="350" w:hRule="atLeast"/>
        </w:trPr>
        <w:tc>
          <w:tcPr>
            <w:tcW w:w="568"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2409"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学校名称</w:t>
            </w:r>
          </w:p>
        </w:tc>
        <w:tc>
          <w:tcPr>
            <w:tcW w:w="1067"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建设性质</w:t>
            </w:r>
          </w:p>
        </w:tc>
        <w:tc>
          <w:tcPr>
            <w:tcW w:w="106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学校类型</w:t>
            </w:r>
          </w:p>
        </w:tc>
        <w:tc>
          <w:tcPr>
            <w:tcW w:w="731"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预计开工年份</w:t>
            </w:r>
          </w:p>
        </w:tc>
        <w:tc>
          <w:tcPr>
            <w:tcW w:w="686"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预计竣工年份</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新增高中学位（个）</w:t>
            </w:r>
          </w:p>
        </w:tc>
        <w:tc>
          <w:tcPr>
            <w:tcW w:w="3969" w:type="dxa"/>
            <w:gridSpan w:val="4"/>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计划投入资金(万元</w:t>
            </w:r>
            <w:r>
              <w:rPr>
                <w:rFonts w:ascii="宋体" w:hAnsi="宋体" w:cs="宋体"/>
                <w:b/>
                <w:bCs/>
                <w:kern w:val="0"/>
                <w:szCs w:val="21"/>
              </w:rPr>
              <w:t>)</w:t>
            </w:r>
          </w:p>
        </w:tc>
        <w:tc>
          <w:tcPr>
            <w:tcW w:w="127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计划投入资金（万元）</w:t>
            </w:r>
          </w:p>
        </w:tc>
        <w:tc>
          <w:tcPr>
            <w:tcW w:w="1701" w:type="dxa"/>
            <w:vMerge w:val="restart"/>
            <w:tcBorders>
              <w:top w:val="nil"/>
              <w:left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备注</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350" w:hRule="atLeast"/>
        </w:trPr>
        <w:tc>
          <w:tcPr>
            <w:tcW w:w="568"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40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67"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73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6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征地款</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校舍建设资金</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运动场、校门、围墙资金</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kern w:val="0"/>
                <w:szCs w:val="21"/>
              </w:rPr>
            </w:pPr>
            <w:r>
              <w:rPr>
                <w:rFonts w:hint="eastAsia" w:ascii="宋体" w:hAnsi="宋体" w:cs="宋体"/>
                <w:b/>
                <w:bCs/>
                <w:kern w:val="0"/>
                <w:szCs w:val="21"/>
              </w:rPr>
              <w:t>设备设施资金</w:t>
            </w:r>
          </w:p>
        </w:tc>
        <w:tc>
          <w:tcPr>
            <w:tcW w:w="1276" w:type="dxa"/>
            <w:vMerge w:val="continue"/>
            <w:tcBorders>
              <w:top w:val="nil"/>
              <w:left w:val="single" w:color="auto" w:sz="4" w:space="0"/>
              <w:bottom w:val="single" w:color="000000" w:sz="4" w:space="0"/>
              <w:right w:val="single" w:color="auto" w:sz="4" w:space="0"/>
            </w:tcBorders>
            <w:vAlign w:val="center"/>
          </w:tcPr>
          <w:p>
            <w:pPr>
              <w:rPr>
                <w:rFonts w:ascii="宋体" w:hAnsi="宋体" w:cs="宋体"/>
                <w:b/>
                <w:bCs/>
                <w:kern w:val="0"/>
                <w:sz w:val="24"/>
                <w:szCs w:val="24"/>
              </w:rPr>
            </w:pPr>
          </w:p>
        </w:tc>
        <w:tc>
          <w:tcPr>
            <w:tcW w:w="1701" w:type="dxa"/>
            <w:vMerge w:val="continue"/>
            <w:tcBorders>
              <w:left w:val="single" w:color="auto" w:sz="4" w:space="0"/>
              <w:right w:val="single" w:color="auto" w:sz="4" w:space="0"/>
            </w:tcBorders>
            <w:vAlign w:val="center"/>
          </w:tcPr>
          <w:p>
            <w:pPr>
              <w:rPr>
                <w:rFonts w:ascii="宋体" w:hAnsi="宋体" w:cs="宋体"/>
                <w:b/>
                <w:bCs/>
                <w:kern w:val="0"/>
                <w:sz w:val="24"/>
                <w:szCs w:val="24"/>
              </w:rPr>
            </w:pP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35" w:hRule="atLeast"/>
        </w:trPr>
        <w:tc>
          <w:tcPr>
            <w:tcW w:w="568"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2409"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1067"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731"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686"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1276" w:type="dxa"/>
            <w:vMerge w:val="continue"/>
            <w:tcBorders>
              <w:top w:val="nil"/>
              <w:left w:val="single" w:color="auto" w:sz="4" w:space="0"/>
              <w:bottom w:val="single" w:color="000000" w:sz="4" w:space="0"/>
              <w:right w:val="single" w:color="auto" w:sz="4" w:space="0"/>
            </w:tcBorders>
            <w:vAlign w:val="center"/>
          </w:tcPr>
          <w:p>
            <w:pPr>
              <w:rPr>
                <w:rFonts w:ascii="宋体" w:hAnsi="宋体" w:cs="宋体"/>
                <w:b/>
                <w:bCs/>
                <w:kern w:val="0"/>
                <w:sz w:val="24"/>
                <w:szCs w:val="24"/>
              </w:rPr>
            </w:pPr>
          </w:p>
        </w:tc>
        <w:tc>
          <w:tcPr>
            <w:tcW w:w="1701" w:type="dxa"/>
            <w:vMerge w:val="continue"/>
            <w:tcBorders>
              <w:left w:val="single" w:color="auto" w:sz="4" w:space="0"/>
              <w:right w:val="single" w:color="auto" w:sz="4" w:space="0"/>
            </w:tcBorders>
            <w:vAlign w:val="center"/>
          </w:tcPr>
          <w:p>
            <w:pPr>
              <w:rPr>
                <w:rFonts w:ascii="宋体" w:hAnsi="宋体" w:cs="宋体"/>
                <w:b/>
                <w:bCs/>
                <w:kern w:val="0"/>
                <w:sz w:val="24"/>
                <w:szCs w:val="24"/>
              </w:rPr>
            </w:pPr>
          </w:p>
        </w:tc>
        <w:tc>
          <w:tcPr>
            <w:tcW w:w="741" w:type="dxa"/>
            <w:tcBorders>
              <w:top w:val="nil"/>
              <w:left w:val="nil"/>
              <w:bottom w:val="nil"/>
              <w:right w:val="nil"/>
            </w:tcBorders>
            <w:shd w:val="clear" w:color="auto" w:fill="auto"/>
            <w:noWrap/>
            <w:vAlign w:val="center"/>
          </w:tcPr>
          <w:p>
            <w:pPr>
              <w:rPr>
                <w:rFonts w:ascii="仿宋_GB2312" w:hAnsi="宋体" w:eastAsia="仿宋_GB2312" w:cs="宋体"/>
                <w:b/>
                <w:bCs/>
                <w:kern w:val="0"/>
                <w:sz w:val="22"/>
                <w:szCs w:val="22"/>
              </w:rPr>
            </w:pPr>
          </w:p>
        </w:tc>
      </w:tr>
      <w:tr>
        <w:tblPrEx>
          <w:tblLayout w:type="fixed"/>
          <w:tblCellMar>
            <w:top w:w="0" w:type="dxa"/>
            <w:left w:w="108" w:type="dxa"/>
            <w:bottom w:w="0" w:type="dxa"/>
            <w:right w:w="108" w:type="dxa"/>
          </w:tblCellMar>
        </w:tblPrEx>
        <w:trPr>
          <w:gridAfter w:val="1"/>
          <w:wAfter w:w="6" w:type="dxa"/>
          <w:trHeight w:val="304" w:hRule="atLeast"/>
        </w:trPr>
        <w:tc>
          <w:tcPr>
            <w:tcW w:w="568"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2409"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1067"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731"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686"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cs="宋体"/>
                <w:b/>
                <w:bCs/>
                <w:kern w:val="0"/>
                <w:sz w:val="24"/>
                <w:szCs w:val="24"/>
              </w:rPr>
            </w:pPr>
          </w:p>
        </w:tc>
        <w:tc>
          <w:tcPr>
            <w:tcW w:w="1276" w:type="dxa"/>
            <w:vMerge w:val="continue"/>
            <w:tcBorders>
              <w:top w:val="nil"/>
              <w:left w:val="single" w:color="auto" w:sz="4" w:space="0"/>
              <w:bottom w:val="single" w:color="000000" w:sz="4" w:space="0"/>
              <w:right w:val="single" w:color="auto" w:sz="4" w:space="0"/>
            </w:tcBorders>
            <w:vAlign w:val="center"/>
          </w:tcPr>
          <w:p>
            <w:pPr>
              <w:rPr>
                <w:rFonts w:ascii="宋体" w:hAnsi="宋体" w:cs="宋体"/>
                <w:b/>
                <w:bCs/>
                <w:kern w:val="0"/>
                <w:sz w:val="24"/>
                <w:szCs w:val="24"/>
              </w:rPr>
            </w:pPr>
          </w:p>
        </w:tc>
        <w:tc>
          <w:tcPr>
            <w:tcW w:w="1701" w:type="dxa"/>
            <w:vMerge w:val="continue"/>
            <w:tcBorders>
              <w:left w:val="single" w:color="auto" w:sz="4" w:space="0"/>
              <w:bottom w:val="single" w:color="auto" w:sz="4" w:space="0"/>
              <w:right w:val="single" w:color="auto" w:sz="4" w:space="0"/>
            </w:tcBorders>
            <w:shd w:val="clear" w:color="auto" w:fill="auto"/>
            <w:vAlign w:val="center"/>
          </w:tcPr>
          <w:p>
            <w:pPr>
              <w:rPr>
                <w:rFonts w:ascii="宋体" w:hAnsi="宋体" w:cs="宋体"/>
                <w:b/>
                <w:bCs/>
                <w:kern w:val="0"/>
                <w:sz w:val="24"/>
                <w:szCs w:val="24"/>
              </w:rPr>
            </w:pP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kern w:val="0"/>
                <w:sz w:val="22"/>
                <w:szCs w:val="22"/>
              </w:rPr>
            </w:pPr>
          </w:p>
        </w:tc>
        <w:tc>
          <w:tcPr>
            <w:tcW w:w="4536" w:type="dxa"/>
            <w:gridSpan w:val="3"/>
            <w:tcBorders>
              <w:top w:val="single" w:color="auto" w:sz="4" w:space="0"/>
              <w:left w:val="nil"/>
              <w:bottom w:val="single" w:color="auto" w:sz="4" w:space="0"/>
              <w:right w:val="single" w:color="000000" w:sz="4" w:space="0"/>
            </w:tcBorders>
            <w:shd w:val="clear" w:color="auto" w:fill="D8D8D8" w:themeFill="background1" w:themeFillShade="D9"/>
            <w:vAlign w:val="center"/>
          </w:tcPr>
          <w:p>
            <w:pPr>
              <w:jc w:val="center"/>
              <w:rPr>
                <w:rFonts w:ascii="宋体" w:hAnsi="宋体" w:cs="宋体"/>
                <w:b/>
                <w:bCs/>
                <w:kern w:val="0"/>
                <w:sz w:val="22"/>
                <w:szCs w:val="22"/>
              </w:rPr>
            </w:pPr>
            <w:r>
              <w:rPr>
                <w:rFonts w:hint="eastAsia" w:ascii="宋体" w:hAnsi="宋体" w:cs="宋体"/>
                <w:b/>
                <w:bCs/>
                <w:kern w:val="0"/>
                <w:sz w:val="22"/>
                <w:szCs w:val="22"/>
              </w:rPr>
              <w:t xml:space="preserve">总 </w:t>
            </w:r>
            <w:r>
              <w:rPr>
                <w:rFonts w:ascii="宋体" w:hAnsi="宋体" w:cs="宋体"/>
                <w:b/>
                <w:bCs/>
                <w:kern w:val="0"/>
                <w:sz w:val="22"/>
                <w:szCs w:val="22"/>
              </w:rPr>
              <w:t xml:space="preserve"> </w:t>
            </w:r>
            <w:r>
              <w:rPr>
                <w:rFonts w:hint="eastAsia" w:ascii="宋体" w:hAnsi="宋体" w:cs="宋体"/>
                <w:b/>
                <w:bCs/>
                <w:kern w:val="0"/>
                <w:sz w:val="22"/>
                <w:szCs w:val="22"/>
              </w:rPr>
              <w:t>计</w:t>
            </w:r>
          </w:p>
        </w:tc>
        <w:tc>
          <w:tcPr>
            <w:tcW w:w="731" w:type="dxa"/>
            <w:tcBorders>
              <w:top w:val="nil"/>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　</w:t>
            </w:r>
          </w:p>
        </w:tc>
        <w:tc>
          <w:tcPr>
            <w:tcW w:w="686" w:type="dxa"/>
            <w:tcBorders>
              <w:top w:val="nil"/>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　</w:t>
            </w:r>
          </w:p>
        </w:tc>
        <w:tc>
          <w:tcPr>
            <w:tcW w:w="99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4,000</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4,000</w:t>
            </w:r>
          </w:p>
        </w:tc>
        <w:tc>
          <w:tcPr>
            <w:tcW w:w="99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37,300</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2,200</w:t>
            </w:r>
          </w:p>
        </w:tc>
        <w:tc>
          <w:tcPr>
            <w:tcW w:w="99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4,000</w:t>
            </w:r>
          </w:p>
        </w:tc>
        <w:tc>
          <w:tcPr>
            <w:tcW w:w="1276" w:type="dxa"/>
            <w:tcBorders>
              <w:top w:val="nil"/>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47,500</w:t>
            </w:r>
          </w:p>
        </w:tc>
        <w:tc>
          <w:tcPr>
            <w:tcW w:w="1701" w:type="dxa"/>
            <w:tcBorders>
              <w:top w:val="nil"/>
              <w:left w:val="nil"/>
              <w:bottom w:val="single" w:color="auto" w:sz="4" w:space="0"/>
              <w:right w:val="single" w:color="auto" w:sz="4" w:space="0"/>
            </w:tcBorders>
            <w:shd w:val="clear" w:color="auto" w:fill="D8D8D8" w:themeFill="background1" w:themeFillShade="D9"/>
            <w:vAlign w:val="center"/>
          </w:tcPr>
          <w:p>
            <w:pPr>
              <w:jc w:val="right"/>
              <w:rPr>
                <w:rFonts w:ascii="宋体" w:hAnsi="宋体"/>
                <w:kern w:val="0"/>
                <w:sz w:val="22"/>
                <w:szCs w:val="22"/>
              </w:rPr>
            </w:pPr>
            <w:r>
              <w:rPr>
                <w:rFonts w:ascii="宋体" w:hAnsi="宋体"/>
                <w:kern w:val="0"/>
                <w:sz w:val="22"/>
                <w:szCs w:val="22"/>
              </w:rPr>
              <w:t>　</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1</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陆丰市甲子中学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完全中学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2024</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2025</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2,400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3,900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1126"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2</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陆丰市碣石中学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迁址新建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高级中学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2023</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2025</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3,500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13,000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900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1,500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18,900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原校区改为九年制学校增加义务教育学位，新校区按</w:t>
            </w:r>
            <w:r>
              <w:rPr>
                <w:rFonts w:ascii="宋体" w:hAnsi="宋体"/>
                <w:kern w:val="0"/>
                <w:szCs w:val="21"/>
              </w:rPr>
              <w:t>2500</w:t>
            </w:r>
            <w:r>
              <w:rPr>
                <w:rFonts w:hint="eastAsia" w:ascii="宋体" w:hAnsi="宋体" w:cs="宋体"/>
                <w:kern w:val="0"/>
                <w:szCs w:val="21"/>
              </w:rPr>
              <w:t>生标准建设。</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3</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陆丰市南塘五峰中学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完全中学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2025</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2026</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1,200</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5,100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6,100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　</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4</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陆丰市新龙中学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高级中学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2022</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2024</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2,300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3,100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办学类型改为高级中学</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5</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陆丰市龙山中学新校区二期二标</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新建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高级中学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2022</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2023</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7,000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1,000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8,000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　</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6</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陆丰市东海镇龙潭中学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完全中学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2022</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2023</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4,000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　</w:t>
            </w:r>
          </w:p>
        </w:tc>
        <w:tc>
          <w:tcPr>
            <w:tcW w:w="741" w:type="dxa"/>
            <w:vAlign w:val="center"/>
          </w:tcPr>
          <w:p>
            <w:pPr>
              <w:rPr>
                <w:rFonts w:eastAsia="Times New Roman"/>
                <w:kern w:val="0"/>
                <w:sz w:val="20"/>
              </w:rPr>
            </w:pPr>
          </w:p>
        </w:tc>
      </w:tr>
      <w:tr>
        <w:tblPrEx>
          <w:tblLayout w:type="fixed"/>
          <w:tblCellMar>
            <w:top w:w="0" w:type="dxa"/>
            <w:left w:w="108" w:type="dxa"/>
            <w:bottom w:w="0" w:type="dxa"/>
            <w:right w:w="108" w:type="dxa"/>
          </w:tblCellMar>
        </w:tblPrEx>
        <w:trPr>
          <w:gridAfter w:val="1"/>
          <w:wAfter w:w="6" w:type="dxa"/>
          <w:trHeight w:val="57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ascii="宋体" w:hAnsi="宋体"/>
                <w:kern w:val="0"/>
                <w:szCs w:val="21"/>
              </w:rPr>
              <w:t>7</w:t>
            </w:r>
          </w:p>
        </w:tc>
        <w:tc>
          <w:tcPr>
            <w:tcW w:w="240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陆丰市东海中学</w:t>
            </w:r>
          </w:p>
        </w:tc>
        <w:tc>
          <w:tcPr>
            <w:tcW w:w="1067"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改扩建</w:t>
            </w:r>
          </w:p>
        </w:tc>
        <w:tc>
          <w:tcPr>
            <w:tcW w:w="1060"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完全中学</w:t>
            </w:r>
          </w:p>
        </w:tc>
        <w:tc>
          <w:tcPr>
            <w:tcW w:w="731"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2022</w:t>
            </w:r>
          </w:p>
        </w:tc>
        <w:tc>
          <w:tcPr>
            <w:tcW w:w="686" w:type="dxa"/>
            <w:tcBorders>
              <w:top w:val="nil"/>
              <w:left w:val="nil"/>
              <w:bottom w:val="single" w:color="auto" w:sz="4" w:space="0"/>
              <w:right w:val="single" w:color="auto" w:sz="4" w:space="0"/>
            </w:tcBorders>
            <w:shd w:val="clear" w:color="auto" w:fill="auto"/>
            <w:vAlign w:val="center"/>
          </w:tcPr>
          <w:p>
            <w:pPr>
              <w:rPr>
                <w:rFonts w:ascii="宋体" w:hAnsi="宋体"/>
                <w:kern w:val="0"/>
                <w:szCs w:val="21"/>
              </w:rPr>
            </w:pPr>
            <w:r>
              <w:rPr>
                <w:rFonts w:ascii="宋体" w:hAnsi="宋体"/>
                <w:kern w:val="0"/>
                <w:szCs w:val="21"/>
              </w:rPr>
              <w:t>2023</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3,500</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kern w:val="0"/>
                <w:szCs w:val="21"/>
              </w:rPr>
            </w:pPr>
            <w:r>
              <w:rPr>
                <w:rFonts w:ascii="宋体" w:hAnsi="宋体"/>
                <w:kern w:val="0"/>
                <w:szCs w:val="21"/>
              </w:rPr>
              <w:t>3,500</w:t>
            </w:r>
          </w:p>
        </w:tc>
        <w:tc>
          <w:tcPr>
            <w:tcW w:w="1701"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　</w:t>
            </w:r>
          </w:p>
        </w:tc>
        <w:tc>
          <w:tcPr>
            <w:tcW w:w="741" w:type="dxa"/>
            <w:vAlign w:val="center"/>
          </w:tcPr>
          <w:p>
            <w:pPr>
              <w:rPr>
                <w:rFonts w:eastAsia="Times New Roman"/>
                <w:kern w:val="0"/>
                <w:sz w:val="20"/>
              </w:rPr>
            </w:pPr>
          </w:p>
        </w:tc>
      </w:tr>
    </w:tbl>
    <w:p>
      <w:pPr>
        <w:rPr>
          <w:sz w:val="10"/>
          <w:szCs w:val="10"/>
        </w:rPr>
      </w:pPr>
    </w:p>
    <w:sectPr>
      <w:pgSz w:w="16838" w:h="11906" w:orient="landscape"/>
      <w:pgMar w:top="1463" w:right="1440" w:bottom="1519"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327422"/>
    </w:sdtPr>
    <w:sdtEndPr>
      <w:rPr>
        <w:sz w:val="32"/>
        <w:szCs w:val="32"/>
      </w:rPr>
    </w:sdtEndPr>
    <w:sdtContent>
      <w:p>
        <w:pPr>
          <w:pStyle w:val="12"/>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iii</w:t>
        </w:r>
        <w:r>
          <w:rPr>
            <w:sz w:val="32"/>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03157"/>
    </w:sdtPr>
    <w:sdtEndPr>
      <w:rPr>
        <w:sz w:val="28"/>
        <w:szCs w:val="28"/>
      </w:rPr>
    </w:sdtEndPr>
    <w:sdtContent>
      <w:p>
        <w:pPr>
          <w:pStyle w:val="1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iv</w:t>
        </w:r>
        <w:r>
          <w:rPr>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438838"/>
    </w:sdtPr>
    <w:sdtEndPr>
      <w:rPr>
        <w:sz w:val="28"/>
        <w:szCs w:val="28"/>
      </w:rPr>
    </w:sdtEndPr>
    <w:sdtContent>
      <w:p>
        <w:pPr>
          <w:pStyle w:val="1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27 -</w:t>
        </w:r>
        <w:r>
          <w:rPr>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807289"/>
    </w:sdtPr>
    <w:sdtEndPr>
      <w:rPr>
        <w:sz w:val="28"/>
        <w:szCs w:val="28"/>
      </w:rPr>
    </w:sdtEndPr>
    <w:sdtContent>
      <w:p>
        <w:pPr>
          <w:pStyle w:val="1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26 -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removePersonalInformation/>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E0652"/>
    <w:rsid w:val="000117AC"/>
    <w:rsid w:val="00015BF4"/>
    <w:rsid w:val="000237D0"/>
    <w:rsid w:val="0002672F"/>
    <w:rsid w:val="000271F0"/>
    <w:rsid w:val="00046D39"/>
    <w:rsid w:val="00050A28"/>
    <w:rsid w:val="00052172"/>
    <w:rsid w:val="00055DFE"/>
    <w:rsid w:val="00067702"/>
    <w:rsid w:val="00071EE5"/>
    <w:rsid w:val="000749E3"/>
    <w:rsid w:val="00076A96"/>
    <w:rsid w:val="000909A2"/>
    <w:rsid w:val="000A2EDC"/>
    <w:rsid w:val="000A7A25"/>
    <w:rsid w:val="000D09B2"/>
    <w:rsid w:val="000D19B5"/>
    <w:rsid w:val="000D1C47"/>
    <w:rsid w:val="000D2230"/>
    <w:rsid w:val="000E0186"/>
    <w:rsid w:val="000E30C3"/>
    <w:rsid w:val="000E58B9"/>
    <w:rsid w:val="000E5C43"/>
    <w:rsid w:val="000E6507"/>
    <w:rsid w:val="000F1441"/>
    <w:rsid w:val="00100AF1"/>
    <w:rsid w:val="001123EA"/>
    <w:rsid w:val="00120B4F"/>
    <w:rsid w:val="00121F90"/>
    <w:rsid w:val="00130DED"/>
    <w:rsid w:val="00133165"/>
    <w:rsid w:val="00136DE8"/>
    <w:rsid w:val="0013789C"/>
    <w:rsid w:val="001448F0"/>
    <w:rsid w:val="001538B6"/>
    <w:rsid w:val="00160B81"/>
    <w:rsid w:val="00164AD2"/>
    <w:rsid w:val="00165910"/>
    <w:rsid w:val="0016709B"/>
    <w:rsid w:val="00167C52"/>
    <w:rsid w:val="00173392"/>
    <w:rsid w:val="00174DE9"/>
    <w:rsid w:val="00176B08"/>
    <w:rsid w:val="00182D64"/>
    <w:rsid w:val="00183239"/>
    <w:rsid w:val="0018642C"/>
    <w:rsid w:val="0019268D"/>
    <w:rsid w:val="001A30B2"/>
    <w:rsid w:val="001A683B"/>
    <w:rsid w:val="001B136B"/>
    <w:rsid w:val="001B66AB"/>
    <w:rsid w:val="001B6FFB"/>
    <w:rsid w:val="001C67C7"/>
    <w:rsid w:val="001E651A"/>
    <w:rsid w:val="001F1B78"/>
    <w:rsid w:val="001F575C"/>
    <w:rsid w:val="0020585D"/>
    <w:rsid w:val="0021429E"/>
    <w:rsid w:val="002175C3"/>
    <w:rsid w:val="00223BB2"/>
    <w:rsid w:val="00224904"/>
    <w:rsid w:val="00233679"/>
    <w:rsid w:val="00233C06"/>
    <w:rsid w:val="002355AB"/>
    <w:rsid w:val="00237803"/>
    <w:rsid w:val="002509E3"/>
    <w:rsid w:val="002513F7"/>
    <w:rsid w:val="00252867"/>
    <w:rsid w:val="00263759"/>
    <w:rsid w:val="00263FC1"/>
    <w:rsid w:val="00264BB4"/>
    <w:rsid w:val="00267FED"/>
    <w:rsid w:val="002760DC"/>
    <w:rsid w:val="00277550"/>
    <w:rsid w:val="00277810"/>
    <w:rsid w:val="00280EFA"/>
    <w:rsid w:val="00283FE8"/>
    <w:rsid w:val="00284DDF"/>
    <w:rsid w:val="00286205"/>
    <w:rsid w:val="00290260"/>
    <w:rsid w:val="002B03D5"/>
    <w:rsid w:val="002B43AC"/>
    <w:rsid w:val="002B70BB"/>
    <w:rsid w:val="002C68A0"/>
    <w:rsid w:val="002D2A64"/>
    <w:rsid w:val="002D3AC9"/>
    <w:rsid w:val="002D44AE"/>
    <w:rsid w:val="002F006A"/>
    <w:rsid w:val="002F22D1"/>
    <w:rsid w:val="002F531C"/>
    <w:rsid w:val="0030500E"/>
    <w:rsid w:val="0032146B"/>
    <w:rsid w:val="003237EE"/>
    <w:rsid w:val="003238DE"/>
    <w:rsid w:val="003245FF"/>
    <w:rsid w:val="0033100A"/>
    <w:rsid w:val="0034011F"/>
    <w:rsid w:val="0034179C"/>
    <w:rsid w:val="00352E2C"/>
    <w:rsid w:val="0036620D"/>
    <w:rsid w:val="003665A7"/>
    <w:rsid w:val="00367169"/>
    <w:rsid w:val="00376BAA"/>
    <w:rsid w:val="00392B0B"/>
    <w:rsid w:val="003947D4"/>
    <w:rsid w:val="003978B7"/>
    <w:rsid w:val="003A15EE"/>
    <w:rsid w:val="003A370E"/>
    <w:rsid w:val="003B3066"/>
    <w:rsid w:val="003B31F4"/>
    <w:rsid w:val="003C1122"/>
    <w:rsid w:val="003C27D8"/>
    <w:rsid w:val="003C2B29"/>
    <w:rsid w:val="003C2FDC"/>
    <w:rsid w:val="003C38F2"/>
    <w:rsid w:val="003C5B45"/>
    <w:rsid w:val="003D4777"/>
    <w:rsid w:val="003D6B65"/>
    <w:rsid w:val="003E6141"/>
    <w:rsid w:val="003F1BA1"/>
    <w:rsid w:val="003F3CE1"/>
    <w:rsid w:val="003F4ABE"/>
    <w:rsid w:val="003F5D5B"/>
    <w:rsid w:val="003F7BD6"/>
    <w:rsid w:val="0041093B"/>
    <w:rsid w:val="00415732"/>
    <w:rsid w:val="00422E00"/>
    <w:rsid w:val="00424FCA"/>
    <w:rsid w:val="00430ECF"/>
    <w:rsid w:val="004332F7"/>
    <w:rsid w:val="00441AED"/>
    <w:rsid w:val="00445C1F"/>
    <w:rsid w:val="00481804"/>
    <w:rsid w:val="00483347"/>
    <w:rsid w:val="004842A0"/>
    <w:rsid w:val="00486B74"/>
    <w:rsid w:val="00491349"/>
    <w:rsid w:val="00492A05"/>
    <w:rsid w:val="0049707D"/>
    <w:rsid w:val="004A1964"/>
    <w:rsid w:val="004A4B98"/>
    <w:rsid w:val="004B3CD7"/>
    <w:rsid w:val="004B6C6F"/>
    <w:rsid w:val="004B7476"/>
    <w:rsid w:val="004C0ABB"/>
    <w:rsid w:val="004D7430"/>
    <w:rsid w:val="004E0688"/>
    <w:rsid w:val="004E0A4D"/>
    <w:rsid w:val="004E168B"/>
    <w:rsid w:val="004F070E"/>
    <w:rsid w:val="004F2B6D"/>
    <w:rsid w:val="004F6A42"/>
    <w:rsid w:val="00506F03"/>
    <w:rsid w:val="0051169F"/>
    <w:rsid w:val="00513B35"/>
    <w:rsid w:val="00514D1E"/>
    <w:rsid w:val="00525C17"/>
    <w:rsid w:val="00531F27"/>
    <w:rsid w:val="0053733E"/>
    <w:rsid w:val="00541D20"/>
    <w:rsid w:val="005450ED"/>
    <w:rsid w:val="00550081"/>
    <w:rsid w:val="00552FE6"/>
    <w:rsid w:val="00556D86"/>
    <w:rsid w:val="00557BAF"/>
    <w:rsid w:val="005647F4"/>
    <w:rsid w:val="005678C3"/>
    <w:rsid w:val="0057495D"/>
    <w:rsid w:val="00580295"/>
    <w:rsid w:val="005836EE"/>
    <w:rsid w:val="00583FA1"/>
    <w:rsid w:val="005919A4"/>
    <w:rsid w:val="0059412C"/>
    <w:rsid w:val="00596454"/>
    <w:rsid w:val="005A06E4"/>
    <w:rsid w:val="005B0276"/>
    <w:rsid w:val="005B2536"/>
    <w:rsid w:val="005B3E64"/>
    <w:rsid w:val="005B6604"/>
    <w:rsid w:val="005C3644"/>
    <w:rsid w:val="005C5161"/>
    <w:rsid w:val="005C695F"/>
    <w:rsid w:val="005C764E"/>
    <w:rsid w:val="005D06EC"/>
    <w:rsid w:val="005D6F8B"/>
    <w:rsid w:val="005F2902"/>
    <w:rsid w:val="005F6463"/>
    <w:rsid w:val="005F6827"/>
    <w:rsid w:val="006059A3"/>
    <w:rsid w:val="006062D7"/>
    <w:rsid w:val="00606504"/>
    <w:rsid w:val="006124F6"/>
    <w:rsid w:val="006125DE"/>
    <w:rsid w:val="00620A68"/>
    <w:rsid w:val="00622E3E"/>
    <w:rsid w:val="0063386C"/>
    <w:rsid w:val="00644713"/>
    <w:rsid w:val="0065573F"/>
    <w:rsid w:val="00656D01"/>
    <w:rsid w:val="00666394"/>
    <w:rsid w:val="006754DC"/>
    <w:rsid w:val="00681E9B"/>
    <w:rsid w:val="00682680"/>
    <w:rsid w:val="00687BD6"/>
    <w:rsid w:val="006A2734"/>
    <w:rsid w:val="006A4009"/>
    <w:rsid w:val="006B6B9E"/>
    <w:rsid w:val="006C2831"/>
    <w:rsid w:val="006C33FC"/>
    <w:rsid w:val="006C3C19"/>
    <w:rsid w:val="006C54E7"/>
    <w:rsid w:val="006C6A71"/>
    <w:rsid w:val="006D3096"/>
    <w:rsid w:val="006D380A"/>
    <w:rsid w:val="006D51EB"/>
    <w:rsid w:val="006E330E"/>
    <w:rsid w:val="006F1AA8"/>
    <w:rsid w:val="006F2F72"/>
    <w:rsid w:val="006F6197"/>
    <w:rsid w:val="00713C5E"/>
    <w:rsid w:val="007220AA"/>
    <w:rsid w:val="0072240B"/>
    <w:rsid w:val="00730170"/>
    <w:rsid w:val="007313D2"/>
    <w:rsid w:val="0075670C"/>
    <w:rsid w:val="0075710D"/>
    <w:rsid w:val="00765F08"/>
    <w:rsid w:val="007706C9"/>
    <w:rsid w:val="00770C9D"/>
    <w:rsid w:val="00773A57"/>
    <w:rsid w:val="0077480B"/>
    <w:rsid w:val="00780C3D"/>
    <w:rsid w:val="00780CCF"/>
    <w:rsid w:val="00786895"/>
    <w:rsid w:val="00795B6A"/>
    <w:rsid w:val="00796750"/>
    <w:rsid w:val="00796DC1"/>
    <w:rsid w:val="007A4016"/>
    <w:rsid w:val="007A7AC6"/>
    <w:rsid w:val="007A7C07"/>
    <w:rsid w:val="007B6552"/>
    <w:rsid w:val="007B6EA0"/>
    <w:rsid w:val="007C6F3F"/>
    <w:rsid w:val="007C7339"/>
    <w:rsid w:val="007D0E56"/>
    <w:rsid w:val="007D1561"/>
    <w:rsid w:val="007D1CE6"/>
    <w:rsid w:val="007D6DBF"/>
    <w:rsid w:val="007F1D35"/>
    <w:rsid w:val="007F4456"/>
    <w:rsid w:val="007F6002"/>
    <w:rsid w:val="00817748"/>
    <w:rsid w:val="00820DF9"/>
    <w:rsid w:val="008277AB"/>
    <w:rsid w:val="00827A90"/>
    <w:rsid w:val="00830D98"/>
    <w:rsid w:val="0084109E"/>
    <w:rsid w:val="008411BF"/>
    <w:rsid w:val="00841EE0"/>
    <w:rsid w:val="00844F05"/>
    <w:rsid w:val="00850F34"/>
    <w:rsid w:val="00852A72"/>
    <w:rsid w:val="00864933"/>
    <w:rsid w:val="008908B0"/>
    <w:rsid w:val="008B295E"/>
    <w:rsid w:val="008B36E6"/>
    <w:rsid w:val="008C1A9D"/>
    <w:rsid w:val="008D0601"/>
    <w:rsid w:val="008D0E7D"/>
    <w:rsid w:val="008E0652"/>
    <w:rsid w:val="008F20C9"/>
    <w:rsid w:val="008F70F8"/>
    <w:rsid w:val="00904C34"/>
    <w:rsid w:val="009076C1"/>
    <w:rsid w:val="00910DAF"/>
    <w:rsid w:val="009144C5"/>
    <w:rsid w:val="009172AC"/>
    <w:rsid w:val="009175FF"/>
    <w:rsid w:val="00917CA1"/>
    <w:rsid w:val="00931E08"/>
    <w:rsid w:val="009326F9"/>
    <w:rsid w:val="00934301"/>
    <w:rsid w:val="009348AD"/>
    <w:rsid w:val="0095484A"/>
    <w:rsid w:val="00960462"/>
    <w:rsid w:val="00963EF7"/>
    <w:rsid w:val="00964118"/>
    <w:rsid w:val="0097285D"/>
    <w:rsid w:val="0099342E"/>
    <w:rsid w:val="009A1D89"/>
    <w:rsid w:val="009A559B"/>
    <w:rsid w:val="009C486F"/>
    <w:rsid w:val="009E00C7"/>
    <w:rsid w:val="009E0894"/>
    <w:rsid w:val="009E361C"/>
    <w:rsid w:val="009E626F"/>
    <w:rsid w:val="009E7FCB"/>
    <w:rsid w:val="009F2F77"/>
    <w:rsid w:val="009F39AB"/>
    <w:rsid w:val="00A00773"/>
    <w:rsid w:val="00A0317D"/>
    <w:rsid w:val="00A058E4"/>
    <w:rsid w:val="00A10D50"/>
    <w:rsid w:val="00A13889"/>
    <w:rsid w:val="00A15EBB"/>
    <w:rsid w:val="00A251AC"/>
    <w:rsid w:val="00A41C07"/>
    <w:rsid w:val="00A43D8B"/>
    <w:rsid w:val="00A44067"/>
    <w:rsid w:val="00A45875"/>
    <w:rsid w:val="00A50921"/>
    <w:rsid w:val="00A509C8"/>
    <w:rsid w:val="00A54F4D"/>
    <w:rsid w:val="00A55D44"/>
    <w:rsid w:val="00A574A8"/>
    <w:rsid w:val="00A6491E"/>
    <w:rsid w:val="00A71553"/>
    <w:rsid w:val="00A7554F"/>
    <w:rsid w:val="00A877ED"/>
    <w:rsid w:val="00A9164A"/>
    <w:rsid w:val="00A93CDF"/>
    <w:rsid w:val="00A97137"/>
    <w:rsid w:val="00AA0C0F"/>
    <w:rsid w:val="00AA699E"/>
    <w:rsid w:val="00AB2470"/>
    <w:rsid w:val="00AB317F"/>
    <w:rsid w:val="00AC3795"/>
    <w:rsid w:val="00AC671A"/>
    <w:rsid w:val="00AC79F0"/>
    <w:rsid w:val="00AC7B2C"/>
    <w:rsid w:val="00AD3BCD"/>
    <w:rsid w:val="00AE0866"/>
    <w:rsid w:val="00AE0D9D"/>
    <w:rsid w:val="00AE0E71"/>
    <w:rsid w:val="00AF2AD9"/>
    <w:rsid w:val="00AF6230"/>
    <w:rsid w:val="00B12274"/>
    <w:rsid w:val="00B169BF"/>
    <w:rsid w:val="00B21148"/>
    <w:rsid w:val="00B2209A"/>
    <w:rsid w:val="00B2511A"/>
    <w:rsid w:val="00B268F7"/>
    <w:rsid w:val="00B27228"/>
    <w:rsid w:val="00B349FB"/>
    <w:rsid w:val="00B36FD8"/>
    <w:rsid w:val="00B4611E"/>
    <w:rsid w:val="00B476A9"/>
    <w:rsid w:val="00B52C98"/>
    <w:rsid w:val="00B53AF7"/>
    <w:rsid w:val="00B56754"/>
    <w:rsid w:val="00B61355"/>
    <w:rsid w:val="00B75421"/>
    <w:rsid w:val="00B76F67"/>
    <w:rsid w:val="00B80AB3"/>
    <w:rsid w:val="00B83CE9"/>
    <w:rsid w:val="00B85CAF"/>
    <w:rsid w:val="00B8664E"/>
    <w:rsid w:val="00B86AE4"/>
    <w:rsid w:val="00B94B93"/>
    <w:rsid w:val="00B96F39"/>
    <w:rsid w:val="00BA403C"/>
    <w:rsid w:val="00BB06AA"/>
    <w:rsid w:val="00BB1397"/>
    <w:rsid w:val="00BB372C"/>
    <w:rsid w:val="00BC2932"/>
    <w:rsid w:val="00BC4B05"/>
    <w:rsid w:val="00BD0D7C"/>
    <w:rsid w:val="00BD1572"/>
    <w:rsid w:val="00BD5457"/>
    <w:rsid w:val="00BD5F90"/>
    <w:rsid w:val="00BE235D"/>
    <w:rsid w:val="00BE4221"/>
    <w:rsid w:val="00BE7CC5"/>
    <w:rsid w:val="00BF6A2F"/>
    <w:rsid w:val="00BF6D3D"/>
    <w:rsid w:val="00C22F53"/>
    <w:rsid w:val="00C311FB"/>
    <w:rsid w:val="00C32C3D"/>
    <w:rsid w:val="00C36F4E"/>
    <w:rsid w:val="00C40D61"/>
    <w:rsid w:val="00C42579"/>
    <w:rsid w:val="00C4490E"/>
    <w:rsid w:val="00C501D3"/>
    <w:rsid w:val="00C56E18"/>
    <w:rsid w:val="00C632F5"/>
    <w:rsid w:val="00C63F2D"/>
    <w:rsid w:val="00C657FF"/>
    <w:rsid w:val="00C67C8D"/>
    <w:rsid w:val="00C767DA"/>
    <w:rsid w:val="00C81C0D"/>
    <w:rsid w:val="00C81C2D"/>
    <w:rsid w:val="00C958C4"/>
    <w:rsid w:val="00CA7CB4"/>
    <w:rsid w:val="00CA7D50"/>
    <w:rsid w:val="00CC0A7F"/>
    <w:rsid w:val="00CD1934"/>
    <w:rsid w:val="00CD1F1F"/>
    <w:rsid w:val="00CE0509"/>
    <w:rsid w:val="00D1035A"/>
    <w:rsid w:val="00D12804"/>
    <w:rsid w:val="00D12D22"/>
    <w:rsid w:val="00D1501A"/>
    <w:rsid w:val="00D22D31"/>
    <w:rsid w:val="00D426B9"/>
    <w:rsid w:val="00D45FFE"/>
    <w:rsid w:val="00D570C0"/>
    <w:rsid w:val="00D57E05"/>
    <w:rsid w:val="00D72CF3"/>
    <w:rsid w:val="00D937E1"/>
    <w:rsid w:val="00D96D5E"/>
    <w:rsid w:val="00D97DD3"/>
    <w:rsid w:val="00DA0B5F"/>
    <w:rsid w:val="00DA539A"/>
    <w:rsid w:val="00DA6A9A"/>
    <w:rsid w:val="00DB30AA"/>
    <w:rsid w:val="00DB327D"/>
    <w:rsid w:val="00DB36CC"/>
    <w:rsid w:val="00DB43ED"/>
    <w:rsid w:val="00DC14D0"/>
    <w:rsid w:val="00DC4D85"/>
    <w:rsid w:val="00DC7665"/>
    <w:rsid w:val="00DD16F0"/>
    <w:rsid w:val="00DD3DEF"/>
    <w:rsid w:val="00DD5ABD"/>
    <w:rsid w:val="00DD69E9"/>
    <w:rsid w:val="00DE0939"/>
    <w:rsid w:val="00DE4F2A"/>
    <w:rsid w:val="00DF0B16"/>
    <w:rsid w:val="00DF7B3E"/>
    <w:rsid w:val="00E010C6"/>
    <w:rsid w:val="00E04819"/>
    <w:rsid w:val="00E04F2A"/>
    <w:rsid w:val="00E10288"/>
    <w:rsid w:val="00E14369"/>
    <w:rsid w:val="00E20DC0"/>
    <w:rsid w:val="00E222F2"/>
    <w:rsid w:val="00E3245B"/>
    <w:rsid w:val="00E33A66"/>
    <w:rsid w:val="00E40772"/>
    <w:rsid w:val="00E558B8"/>
    <w:rsid w:val="00E55C54"/>
    <w:rsid w:val="00E564FD"/>
    <w:rsid w:val="00E66247"/>
    <w:rsid w:val="00E67FE1"/>
    <w:rsid w:val="00E7519E"/>
    <w:rsid w:val="00E81AF0"/>
    <w:rsid w:val="00E832BC"/>
    <w:rsid w:val="00E84AB7"/>
    <w:rsid w:val="00E87F5A"/>
    <w:rsid w:val="00E94D61"/>
    <w:rsid w:val="00E9672C"/>
    <w:rsid w:val="00EB0D36"/>
    <w:rsid w:val="00EB6CBA"/>
    <w:rsid w:val="00EC0997"/>
    <w:rsid w:val="00EC462F"/>
    <w:rsid w:val="00EC6A4F"/>
    <w:rsid w:val="00ED0984"/>
    <w:rsid w:val="00ED1333"/>
    <w:rsid w:val="00EE0EB4"/>
    <w:rsid w:val="00EE7FDD"/>
    <w:rsid w:val="00EF4B7F"/>
    <w:rsid w:val="00EF6263"/>
    <w:rsid w:val="00EF6C7B"/>
    <w:rsid w:val="00F06930"/>
    <w:rsid w:val="00F07C2E"/>
    <w:rsid w:val="00F208AB"/>
    <w:rsid w:val="00F27AA2"/>
    <w:rsid w:val="00F34640"/>
    <w:rsid w:val="00F40C57"/>
    <w:rsid w:val="00F66421"/>
    <w:rsid w:val="00F66911"/>
    <w:rsid w:val="00F712A4"/>
    <w:rsid w:val="00F869FE"/>
    <w:rsid w:val="00F92E9C"/>
    <w:rsid w:val="00F95791"/>
    <w:rsid w:val="00FA65D7"/>
    <w:rsid w:val="00FC0FCC"/>
    <w:rsid w:val="00FC727E"/>
    <w:rsid w:val="00FD2B75"/>
    <w:rsid w:val="00FE0F33"/>
    <w:rsid w:val="00FF38B9"/>
    <w:rsid w:val="02CB467B"/>
    <w:rsid w:val="03231EF8"/>
    <w:rsid w:val="034F0FBE"/>
    <w:rsid w:val="03594BFC"/>
    <w:rsid w:val="05997890"/>
    <w:rsid w:val="06E573E1"/>
    <w:rsid w:val="0742492A"/>
    <w:rsid w:val="08080FA2"/>
    <w:rsid w:val="08CC4AAF"/>
    <w:rsid w:val="09AE531C"/>
    <w:rsid w:val="09D01A6A"/>
    <w:rsid w:val="0A6F3AD3"/>
    <w:rsid w:val="0D9A7DDF"/>
    <w:rsid w:val="0E3D082F"/>
    <w:rsid w:val="0E76148D"/>
    <w:rsid w:val="0EC01DBF"/>
    <w:rsid w:val="0F1572CB"/>
    <w:rsid w:val="0F282804"/>
    <w:rsid w:val="10DB5D87"/>
    <w:rsid w:val="11391F05"/>
    <w:rsid w:val="117F3AD0"/>
    <w:rsid w:val="13060846"/>
    <w:rsid w:val="137E1789"/>
    <w:rsid w:val="13EF3BE2"/>
    <w:rsid w:val="141917D1"/>
    <w:rsid w:val="170553C7"/>
    <w:rsid w:val="1A1D75EC"/>
    <w:rsid w:val="1A524C3A"/>
    <w:rsid w:val="1C081034"/>
    <w:rsid w:val="1C1945A6"/>
    <w:rsid w:val="1C502501"/>
    <w:rsid w:val="1C9B12FC"/>
    <w:rsid w:val="1D88323B"/>
    <w:rsid w:val="1E993340"/>
    <w:rsid w:val="1EC2191C"/>
    <w:rsid w:val="1F7D6E36"/>
    <w:rsid w:val="1F880A4A"/>
    <w:rsid w:val="1FBD7570"/>
    <w:rsid w:val="1FBF3122"/>
    <w:rsid w:val="1FC26BA4"/>
    <w:rsid w:val="20163B31"/>
    <w:rsid w:val="203E7BF0"/>
    <w:rsid w:val="21BD5166"/>
    <w:rsid w:val="21DD7FE9"/>
    <w:rsid w:val="22B60C01"/>
    <w:rsid w:val="22E7436D"/>
    <w:rsid w:val="233951CB"/>
    <w:rsid w:val="24933E0B"/>
    <w:rsid w:val="254C73F1"/>
    <w:rsid w:val="26D4484D"/>
    <w:rsid w:val="26F74349"/>
    <w:rsid w:val="26FE7307"/>
    <w:rsid w:val="28C36A8A"/>
    <w:rsid w:val="29953468"/>
    <w:rsid w:val="2A167FD8"/>
    <w:rsid w:val="2A780BC7"/>
    <w:rsid w:val="2A937F3A"/>
    <w:rsid w:val="2AE321F6"/>
    <w:rsid w:val="2B4D06BC"/>
    <w:rsid w:val="2C10548E"/>
    <w:rsid w:val="2C4374C4"/>
    <w:rsid w:val="2C5E322F"/>
    <w:rsid w:val="2F210D6D"/>
    <w:rsid w:val="2FD12BCE"/>
    <w:rsid w:val="3108146A"/>
    <w:rsid w:val="31383F53"/>
    <w:rsid w:val="338A5DB2"/>
    <w:rsid w:val="35594B57"/>
    <w:rsid w:val="36544562"/>
    <w:rsid w:val="37095DD3"/>
    <w:rsid w:val="374765BD"/>
    <w:rsid w:val="38427BC7"/>
    <w:rsid w:val="38E07F34"/>
    <w:rsid w:val="38F81807"/>
    <w:rsid w:val="39654E49"/>
    <w:rsid w:val="39C75357"/>
    <w:rsid w:val="3A1E0BE3"/>
    <w:rsid w:val="3B9111CA"/>
    <w:rsid w:val="3C1C79F8"/>
    <w:rsid w:val="3C5C29DD"/>
    <w:rsid w:val="3EB312CC"/>
    <w:rsid w:val="3ED27EB1"/>
    <w:rsid w:val="3EEC553C"/>
    <w:rsid w:val="3F30353B"/>
    <w:rsid w:val="3FB60916"/>
    <w:rsid w:val="3FCA71CE"/>
    <w:rsid w:val="40A5279C"/>
    <w:rsid w:val="40B325A9"/>
    <w:rsid w:val="416E31BD"/>
    <w:rsid w:val="42DB6C78"/>
    <w:rsid w:val="44F86EB3"/>
    <w:rsid w:val="453C2C91"/>
    <w:rsid w:val="45441531"/>
    <w:rsid w:val="45685A1E"/>
    <w:rsid w:val="45913BAE"/>
    <w:rsid w:val="4645480E"/>
    <w:rsid w:val="46942898"/>
    <w:rsid w:val="477F1EFD"/>
    <w:rsid w:val="481E2A8B"/>
    <w:rsid w:val="48E9042E"/>
    <w:rsid w:val="49412EF8"/>
    <w:rsid w:val="49D2418B"/>
    <w:rsid w:val="4A8B0B83"/>
    <w:rsid w:val="4B835B73"/>
    <w:rsid w:val="4B894526"/>
    <w:rsid w:val="4BF151E8"/>
    <w:rsid w:val="4BF915DE"/>
    <w:rsid w:val="4C4F0E2B"/>
    <w:rsid w:val="4C9A533B"/>
    <w:rsid w:val="4CBA3672"/>
    <w:rsid w:val="4CBD250A"/>
    <w:rsid w:val="4DB33889"/>
    <w:rsid w:val="4F593BBA"/>
    <w:rsid w:val="50761AF8"/>
    <w:rsid w:val="52B54C41"/>
    <w:rsid w:val="52E22D33"/>
    <w:rsid w:val="53427D28"/>
    <w:rsid w:val="53BA2E6A"/>
    <w:rsid w:val="541F2B8E"/>
    <w:rsid w:val="543E6FE0"/>
    <w:rsid w:val="54A61C92"/>
    <w:rsid w:val="54DF2FCC"/>
    <w:rsid w:val="553B7E56"/>
    <w:rsid w:val="55827AF0"/>
    <w:rsid w:val="577F009D"/>
    <w:rsid w:val="577F481A"/>
    <w:rsid w:val="58415EB1"/>
    <w:rsid w:val="584E3BED"/>
    <w:rsid w:val="58624B0F"/>
    <w:rsid w:val="5AAD49D1"/>
    <w:rsid w:val="5B4D0461"/>
    <w:rsid w:val="5B5A5DEF"/>
    <w:rsid w:val="5BB5366D"/>
    <w:rsid w:val="5C3346CC"/>
    <w:rsid w:val="5C6E28A5"/>
    <w:rsid w:val="5E127261"/>
    <w:rsid w:val="5E232B29"/>
    <w:rsid w:val="5EBF22A1"/>
    <w:rsid w:val="6012107B"/>
    <w:rsid w:val="620307DC"/>
    <w:rsid w:val="637473B8"/>
    <w:rsid w:val="640170D1"/>
    <w:rsid w:val="64DE547E"/>
    <w:rsid w:val="65526949"/>
    <w:rsid w:val="669427D9"/>
    <w:rsid w:val="68F924F9"/>
    <w:rsid w:val="693576C2"/>
    <w:rsid w:val="69AE0652"/>
    <w:rsid w:val="69CA6775"/>
    <w:rsid w:val="69E2073A"/>
    <w:rsid w:val="6A3551A0"/>
    <w:rsid w:val="6A3D00DC"/>
    <w:rsid w:val="6AB5321D"/>
    <w:rsid w:val="6B0B3C2C"/>
    <w:rsid w:val="6C4002CE"/>
    <w:rsid w:val="6DDE574F"/>
    <w:rsid w:val="6F8A4A0A"/>
    <w:rsid w:val="709A5ECC"/>
    <w:rsid w:val="71327344"/>
    <w:rsid w:val="719C13A7"/>
    <w:rsid w:val="71AD5A8E"/>
    <w:rsid w:val="72005413"/>
    <w:rsid w:val="74222C1E"/>
    <w:rsid w:val="7499036F"/>
    <w:rsid w:val="76AB5496"/>
    <w:rsid w:val="782C0B33"/>
    <w:rsid w:val="784E64AD"/>
    <w:rsid w:val="7A0C025D"/>
    <w:rsid w:val="7A5A304A"/>
    <w:rsid w:val="7B6D6980"/>
    <w:rsid w:val="7B7F75A9"/>
    <w:rsid w:val="7C5069AE"/>
    <w:rsid w:val="7C7C3FC9"/>
    <w:rsid w:val="7CA409FA"/>
    <w:rsid w:val="7CDA1DE4"/>
    <w:rsid w:val="7DBB1D6D"/>
    <w:rsid w:val="7DC93C6B"/>
    <w:rsid w:val="7DD31FFC"/>
    <w:rsid w:val="7E6F671D"/>
    <w:rsid w:val="7EE55273"/>
    <w:rsid w:val="7F383C92"/>
    <w:rsid w:val="7FD2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rPr>
      <w:kern w:val="0"/>
      <w:sz w:val="20"/>
    </w:r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annotation text"/>
    <w:basedOn w:val="1"/>
    <w:link w:val="42"/>
    <w:semiHidden/>
    <w:unhideWhenUsed/>
    <w:qFormat/>
    <w:uiPriority w:val="0"/>
    <w:pPr>
      <w:jc w:val="left"/>
    </w:pPr>
  </w:style>
  <w:style w:type="paragraph" w:styleId="8">
    <w:name w:val="toc 5"/>
    <w:basedOn w:val="1"/>
    <w:next w:val="1"/>
    <w:unhideWhenUsed/>
    <w:qFormat/>
    <w:uiPriority w:val="39"/>
    <w:pPr>
      <w:ind w:left="840"/>
      <w:jc w:val="left"/>
    </w:pPr>
    <w:rPr>
      <w:rFonts w:asciiTheme="minorHAnsi" w:hAnsiTheme="minorHAnsi" w:cstheme="minorHAnsi"/>
      <w:sz w:val="18"/>
      <w:szCs w:val="18"/>
    </w:rPr>
  </w:style>
  <w:style w:type="paragraph" w:styleId="9">
    <w:name w:val="toc 3"/>
    <w:basedOn w:val="1"/>
    <w:next w:val="1"/>
    <w:unhideWhenUsed/>
    <w:qFormat/>
    <w:uiPriority w:val="39"/>
    <w:pPr>
      <w:ind w:left="420"/>
      <w:jc w:val="left"/>
    </w:pPr>
    <w:rPr>
      <w:rFonts w:asciiTheme="minorHAnsi" w:hAnsiTheme="minorHAnsi" w:cstheme="minorHAnsi"/>
      <w:i/>
      <w:iCs/>
      <w:sz w:val="20"/>
    </w:rPr>
  </w:style>
  <w:style w:type="paragraph" w:styleId="10">
    <w:name w:val="toc 8"/>
    <w:basedOn w:val="1"/>
    <w:next w:val="1"/>
    <w:unhideWhenUsed/>
    <w:qFormat/>
    <w:uiPriority w:val="39"/>
    <w:pPr>
      <w:ind w:left="1470"/>
      <w:jc w:val="left"/>
    </w:pPr>
    <w:rPr>
      <w:rFonts w:asciiTheme="minorHAnsi" w:hAnsiTheme="minorHAnsi" w:cstheme="minorHAnsi"/>
      <w:sz w:val="18"/>
      <w:szCs w:val="18"/>
    </w:rPr>
  </w:style>
  <w:style w:type="paragraph" w:styleId="11">
    <w:name w:val="Balloon Text"/>
    <w:basedOn w:val="1"/>
    <w:link w:val="27"/>
    <w:semiHidden/>
    <w:unhideWhenUsed/>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15">
    <w:name w:val="toc 4"/>
    <w:basedOn w:val="1"/>
    <w:next w:val="1"/>
    <w:unhideWhenUsed/>
    <w:qFormat/>
    <w:uiPriority w:val="39"/>
    <w:pPr>
      <w:ind w:left="630"/>
      <w:jc w:val="left"/>
    </w:pPr>
    <w:rPr>
      <w:rFonts w:asciiTheme="minorHAnsi" w:hAnsiTheme="minorHAnsi" w:cstheme="minorHAnsi"/>
      <w:sz w:val="18"/>
      <w:szCs w:val="18"/>
    </w:rPr>
  </w:style>
  <w:style w:type="paragraph" w:styleId="16">
    <w:name w:val="toc 6"/>
    <w:basedOn w:val="1"/>
    <w:next w:val="1"/>
    <w:unhideWhenUsed/>
    <w:qFormat/>
    <w:uiPriority w:val="39"/>
    <w:pPr>
      <w:ind w:left="1050"/>
      <w:jc w:val="left"/>
    </w:pPr>
    <w:rPr>
      <w:rFonts w:asciiTheme="minorHAnsi" w:hAnsiTheme="minorHAnsi" w:cstheme="minorHAnsi"/>
      <w:sz w:val="18"/>
      <w:szCs w:val="18"/>
    </w:rPr>
  </w:style>
  <w:style w:type="paragraph" w:styleId="17">
    <w:name w:val="toc 2"/>
    <w:basedOn w:val="1"/>
    <w:next w:val="1"/>
    <w:unhideWhenUsed/>
    <w:qFormat/>
    <w:uiPriority w:val="39"/>
    <w:pPr>
      <w:ind w:left="210"/>
      <w:jc w:val="left"/>
    </w:pPr>
    <w:rPr>
      <w:rFonts w:asciiTheme="minorHAnsi" w:hAnsiTheme="minorHAnsi" w:cstheme="minorHAnsi"/>
      <w:smallCaps/>
      <w:sz w:val="20"/>
    </w:rPr>
  </w:style>
  <w:style w:type="paragraph" w:styleId="18">
    <w:name w:val="toc 9"/>
    <w:basedOn w:val="1"/>
    <w:next w:val="1"/>
    <w:unhideWhenUsed/>
    <w:qFormat/>
    <w:uiPriority w:val="39"/>
    <w:pPr>
      <w:ind w:left="1680"/>
      <w:jc w:val="left"/>
    </w:pPr>
    <w:rPr>
      <w:rFonts w:asciiTheme="minorHAnsi" w:hAnsiTheme="minorHAnsi" w:cstheme="minorHAnsi"/>
      <w:sz w:val="18"/>
      <w:szCs w:val="18"/>
    </w:rPr>
  </w:style>
  <w:style w:type="paragraph" w:styleId="19">
    <w:name w:val="annotation subject"/>
    <w:basedOn w:val="7"/>
    <w:next w:val="7"/>
    <w:link w:val="43"/>
    <w:semiHidden/>
    <w:unhideWhenUsed/>
    <w:qFormat/>
    <w:uiPriority w:val="0"/>
    <w:rPr>
      <w:b/>
      <w:bCs/>
    </w:rPr>
  </w:style>
  <w:style w:type="table" w:styleId="21">
    <w:name w:val="Table Grid"/>
    <w:basedOn w:val="2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0"/>
    <w:rPr>
      <w:sz w:val="21"/>
      <w:szCs w:val="21"/>
    </w:rPr>
  </w:style>
  <w:style w:type="character" w:customStyle="1" w:styleId="25">
    <w:name w:val="标题 2 字符"/>
    <w:basedOn w:val="22"/>
    <w:link w:val="4"/>
    <w:semiHidden/>
    <w:qFormat/>
    <w:uiPriority w:val="9"/>
    <w:rPr>
      <w:rFonts w:asciiTheme="majorHAnsi" w:hAnsiTheme="majorHAnsi" w:eastAsiaTheme="majorEastAsia" w:cstheme="majorBidi"/>
      <w:b/>
      <w:bCs/>
      <w:kern w:val="2"/>
      <w:sz w:val="32"/>
      <w:szCs w:val="3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7">
    <w:name w:val="批注框文本 字符"/>
    <w:basedOn w:val="22"/>
    <w:link w:val="11"/>
    <w:semiHidden/>
    <w:qFormat/>
    <w:uiPriority w:val="0"/>
    <w:rPr>
      <w:rFonts w:ascii="Times New Roman" w:hAnsi="Times New Roman" w:eastAsia="宋体" w:cs="Times New Roman"/>
      <w:kern w:val="2"/>
      <w:sz w:val="18"/>
      <w:szCs w:val="18"/>
    </w:rPr>
  </w:style>
  <w:style w:type="paragraph" w:styleId="28">
    <w:name w:val="No Spacing"/>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字符"/>
    <w:basedOn w:val="22"/>
    <w:link w:val="28"/>
    <w:qFormat/>
    <w:uiPriority w:val="1"/>
    <w:rPr>
      <w:sz w:val="22"/>
      <w:szCs w:val="22"/>
    </w:rPr>
  </w:style>
  <w:style w:type="character" w:customStyle="1" w:styleId="30">
    <w:name w:val="页脚 字符"/>
    <w:basedOn w:val="22"/>
    <w:link w:val="12"/>
    <w:qFormat/>
    <w:uiPriority w:val="99"/>
    <w:rPr>
      <w:rFonts w:ascii="Times New Roman" w:hAnsi="Times New Roman" w:eastAsia="宋体" w:cs="Times New Roman"/>
      <w:kern w:val="2"/>
      <w:sz w:val="18"/>
    </w:rPr>
  </w:style>
  <w:style w:type="paragraph" w:customStyle="1" w:styleId="31">
    <w:name w:val="一级标题"/>
    <w:basedOn w:val="1"/>
    <w:link w:val="33"/>
    <w:qFormat/>
    <w:uiPriority w:val="0"/>
    <w:pPr>
      <w:ind w:firstLine="640" w:firstLineChars="200"/>
    </w:pPr>
    <w:rPr>
      <w:rFonts w:ascii="黑体" w:hAnsi="黑体" w:eastAsia="黑体" w:cs="黑体"/>
      <w:color w:val="000000"/>
      <w:sz w:val="32"/>
      <w:szCs w:val="32"/>
    </w:rPr>
  </w:style>
  <w:style w:type="paragraph" w:customStyle="1" w:styleId="32">
    <w:name w:val="正文1"/>
    <w:basedOn w:val="1"/>
    <w:link w:val="35"/>
    <w:qFormat/>
    <w:uiPriority w:val="0"/>
    <w:pPr>
      <w:spacing w:line="560" w:lineRule="exact"/>
      <w:ind w:firstLine="646"/>
    </w:pPr>
    <w:rPr>
      <w:rFonts w:ascii="仿宋_GB2312" w:hAnsi="仿宋" w:eastAsia="仿宋_GB2312" w:cs="仿宋"/>
      <w:bCs/>
      <w:sz w:val="32"/>
      <w:szCs w:val="32"/>
    </w:rPr>
  </w:style>
  <w:style w:type="character" w:customStyle="1" w:styleId="33">
    <w:name w:val="一级标题 字符"/>
    <w:basedOn w:val="22"/>
    <w:link w:val="31"/>
    <w:qFormat/>
    <w:uiPriority w:val="0"/>
    <w:rPr>
      <w:rFonts w:ascii="黑体" w:hAnsi="黑体" w:eastAsia="黑体" w:cs="黑体"/>
      <w:color w:val="000000"/>
      <w:kern w:val="2"/>
      <w:sz w:val="32"/>
      <w:szCs w:val="32"/>
    </w:rPr>
  </w:style>
  <w:style w:type="paragraph" w:customStyle="1" w:styleId="34">
    <w:name w:val="二级标题"/>
    <w:basedOn w:val="1"/>
    <w:link w:val="37"/>
    <w:qFormat/>
    <w:uiPriority w:val="0"/>
    <w:pPr>
      <w:ind w:firstLine="645"/>
    </w:pPr>
    <w:rPr>
      <w:rFonts w:ascii="楷体_GB2312" w:hAnsi="仿宋" w:eastAsia="楷体_GB2312" w:cs="仿宋"/>
      <w:b/>
      <w:bCs/>
      <w:sz w:val="32"/>
      <w:szCs w:val="32"/>
    </w:rPr>
  </w:style>
  <w:style w:type="character" w:customStyle="1" w:styleId="35">
    <w:name w:val="正文1 字符"/>
    <w:basedOn w:val="22"/>
    <w:link w:val="32"/>
    <w:qFormat/>
    <w:uiPriority w:val="0"/>
    <w:rPr>
      <w:rFonts w:ascii="仿宋_GB2312" w:hAnsi="仿宋" w:eastAsia="仿宋_GB2312" w:cs="仿宋"/>
      <w:bCs/>
      <w:kern w:val="2"/>
      <w:sz w:val="32"/>
      <w:szCs w:val="32"/>
    </w:rPr>
  </w:style>
  <w:style w:type="paragraph" w:customStyle="1" w:styleId="36">
    <w:name w:val="三级标题"/>
    <w:basedOn w:val="1"/>
    <w:link w:val="39"/>
    <w:qFormat/>
    <w:uiPriority w:val="0"/>
    <w:pPr>
      <w:ind w:firstLine="643" w:firstLineChars="200"/>
    </w:pPr>
    <w:rPr>
      <w:rFonts w:ascii="仿宋_GB2312" w:hAnsi="仿宋" w:eastAsia="仿宋_GB2312" w:cs="仿宋"/>
      <w:b/>
      <w:bCs/>
      <w:sz w:val="32"/>
      <w:szCs w:val="32"/>
    </w:rPr>
  </w:style>
  <w:style w:type="character" w:customStyle="1" w:styleId="37">
    <w:name w:val="二级标题 字符"/>
    <w:basedOn w:val="22"/>
    <w:link w:val="34"/>
    <w:qFormat/>
    <w:uiPriority w:val="0"/>
    <w:rPr>
      <w:rFonts w:ascii="楷体_GB2312" w:hAnsi="仿宋" w:eastAsia="楷体_GB2312" w:cs="仿宋"/>
      <w:b/>
      <w:bCs/>
      <w:kern w:val="2"/>
      <w:sz w:val="32"/>
      <w:szCs w:val="32"/>
    </w:rPr>
  </w:style>
  <w:style w:type="character" w:customStyle="1" w:styleId="38">
    <w:name w:val="标题 1 字符"/>
    <w:basedOn w:val="22"/>
    <w:link w:val="3"/>
    <w:qFormat/>
    <w:uiPriority w:val="9"/>
    <w:rPr>
      <w:rFonts w:ascii="Times New Roman" w:hAnsi="Times New Roman" w:eastAsia="宋体" w:cs="Times New Roman"/>
      <w:b/>
      <w:bCs/>
      <w:kern w:val="44"/>
      <w:sz w:val="44"/>
      <w:szCs w:val="44"/>
    </w:rPr>
  </w:style>
  <w:style w:type="character" w:customStyle="1" w:styleId="39">
    <w:name w:val="三级标题 字符"/>
    <w:basedOn w:val="22"/>
    <w:link w:val="36"/>
    <w:qFormat/>
    <w:uiPriority w:val="0"/>
    <w:rPr>
      <w:rFonts w:ascii="仿宋_GB2312" w:hAnsi="仿宋" w:eastAsia="仿宋_GB2312" w:cs="仿宋"/>
      <w:b/>
      <w:bCs/>
      <w:kern w:val="2"/>
      <w:sz w:val="32"/>
      <w:szCs w:val="32"/>
    </w:rPr>
  </w:style>
  <w:style w:type="character" w:customStyle="1" w:styleId="40">
    <w:name w:val="标题 3 字符"/>
    <w:basedOn w:val="22"/>
    <w:link w:val="5"/>
    <w:semiHidden/>
    <w:qFormat/>
    <w:uiPriority w:val="9"/>
    <w:rPr>
      <w:rFonts w:ascii="Times New Roman" w:hAnsi="Times New Roman" w:eastAsia="宋体" w:cs="Times New Roman"/>
      <w:b/>
      <w:bCs/>
      <w:kern w:val="2"/>
      <w:sz w:val="32"/>
      <w:szCs w:val="32"/>
    </w:rPr>
  </w:style>
  <w:style w:type="paragraph" w:styleId="41">
    <w:name w:val="List Paragraph"/>
    <w:basedOn w:val="1"/>
    <w:qFormat/>
    <w:uiPriority w:val="34"/>
    <w:pPr>
      <w:ind w:firstLine="420" w:firstLineChars="200"/>
    </w:pPr>
  </w:style>
  <w:style w:type="character" w:customStyle="1" w:styleId="42">
    <w:name w:val="批注文字 字符"/>
    <w:basedOn w:val="22"/>
    <w:link w:val="7"/>
    <w:semiHidden/>
    <w:qFormat/>
    <w:uiPriority w:val="0"/>
    <w:rPr>
      <w:rFonts w:ascii="Times New Roman" w:hAnsi="Times New Roman" w:eastAsia="宋体" w:cs="Times New Roman"/>
      <w:kern w:val="2"/>
      <w:sz w:val="21"/>
    </w:rPr>
  </w:style>
  <w:style w:type="character" w:customStyle="1" w:styleId="43">
    <w:name w:val="批注主题 字符"/>
    <w:basedOn w:val="42"/>
    <w:link w:val="19"/>
    <w:semiHidden/>
    <w:qFormat/>
    <w:uiPriority w:val="0"/>
    <w:rPr>
      <w:rFonts w:ascii="Times New Roman" w:hAnsi="Times New Roman" w:eastAsia="宋体" w:cs="Times New Roman"/>
      <w:b/>
      <w:bCs/>
      <w:kern w:val="2"/>
      <w:sz w:val="21"/>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6">
    <w:name w:val="未处理的提及1"/>
    <w:basedOn w:val="22"/>
    <w:semiHidden/>
    <w:unhideWhenUsed/>
    <w:qFormat/>
    <w:uiPriority w:val="99"/>
    <w:rPr>
      <w:color w:val="605E5C"/>
      <w:shd w:val="clear" w:color="auto" w:fill="E1DFDD"/>
    </w:rPr>
  </w:style>
  <w:style w:type="table" w:customStyle="1" w:styleId="47">
    <w:name w:val="Grid Table 1 Light"/>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Unresolved Mention"/>
    <w:basedOn w:val="22"/>
    <w:semiHidden/>
    <w:unhideWhenUsed/>
    <w:qFormat/>
    <w:uiPriority w:val="99"/>
    <w:rPr>
      <w:color w:val="605E5C"/>
      <w:shd w:val="clear" w:color="auto" w:fill="E1DFDD"/>
    </w:rPr>
  </w:style>
  <w:style w:type="paragraph" w:customStyle="1" w:styleId="4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6A26C-E07B-44F9-BE6F-B791E620625F}">
  <ds:schemaRefs/>
</ds:datastoreItem>
</file>

<file path=docProps/app.xml><?xml version="1.0" encoding="utf-8"?>
<Properties xmlns="http://schemas.openxmlformats.org/officeDocument/2006/extended-properties" xmlns:vt="http://schemas.openxmlformats.org/officeDocument/2006/docPropsVTypes">
  <Template>Normal</Template>
  <Pages>39</Pages>
  <Words>3920</Words>
  <Characters>22349</Characters>
  <Lines>186</Lines>
  <Paragraphs>52</Paragraphs>
  <TotalTime>2</TotalTime>
  <ScaleCrop>false</ScaleCrop>
  <LinksUpToDate>false</LinksUpToDate>
  <CharactersWithSpaces>26217</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2021-12-29T07:34:00Z</dcterms:created>
  <cp:lastPrinted>2021-11-12T08:11:00Z</cp:lastPrinted>
  <dcterms:modified xsi:type="dcterms:W3CDTF">2022-01-24T03:45:27Z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CE7361362B464A1BB06C8A7B21BBCE17</vt:lpwstr>
  </property>
</Properties>
</file>