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黑体"/>
          <w:i w:val="0"/>
          <w:iCs w:val="0"/>
          <w:caps w:val="0"/>
          <w:color w:val="333333"/>
          <w:spacing w:val="0"/>
          <w:sz w:val="32"/>
          <w:szCs w:val="32"/>
          <w:shd w:val="clear" w:color="auto" w:fill="FFFFFF"/>
          <w:lang w:val="en-US" w:eastAsia="zh-CN"/>
        </w:rPr>
      </w:pPr>
      <w:bookmarkStart w:id="0" w:name="_GoBack"/>
      <w:bookmarkEnd w:id="0"/>
      <w:r>
        <w:rPr>
          <w:rFonts w:hint="eastAsia" w:ascii="黑体" w:hAnsi="黑体" w:eastAsia="黑体" w:cs="黑体"/>
          <w:i w:val="0"/>
          <w:iCs w:val="0"/>
          <w:caps w:val="0"/>
          <w:color w:val="333333"/>
          <w:spacing w:val="0"/>
          <w:sz w:val="32"/>
          <w:szCs w:val="32"/>
          <w:shd w:val="clear" w:color="auto" w:fill="FFFFFF"/>
          <w:lang w:val="en-US" w:eastAsia="zh-CN"/>
        </w:rPr>
        <w:t>附件：</w:t>
      </w:r>
    </w:p>
    <w:p>
      <w:pPr>
        <w:pStyle w:val="2"/>
        <w:spacing w:line="700" w:lineRule="exact"/>
        <w:ind w:left="0" w:leftChars="0" w:firstLine="0" w:firstLineChars="0"/>
        <w:jc w:val="center"/>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《陆丰市公共文化服务实施标准</w:t>
      </w:r>
    </w:p>
    <w:p>
      <w:pPr>
        <w:pStyle w:val="2"/>
        <w:spacing w:line="700" w:lineRule="exact"/>
        <w:ind w:left="0" w:leftChars="0" w:firstLine="0" w:firstLineChars="0"/>
        <w:jc w:val="center"/>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bCs/>
          <w:color w:val="auto"/>
          <w:sz w:val="44"/>
          <w:szCs w:val="44"/>
          <w:highlight w:val="none"/>
          <w:lang w:val="en-US" w:eastAsia="zh-CN"/>
        </w:rPr>
        <w:t>（2021—2025年）》</w:t>
      </w:r>
    </w:p>
    <w:p>
      <w:pPr>
        <w:pStyle w:val="2"/>
        <w:ind w:left="0" w:leftChars="0" w:firstLine="0" w:firstLineChars="0"/>
        <w:jc w:val="center"/>
        <w:rPr>
          <w:rFonts w:hint="eastAsia" w:ascii="仿宋_GB2312" w:hAnsi="仿宋_GB2312" w:eastAsia="仿宋_GB2312" w:cs="仿宋_GB2312"/>
          <w:b w:val="0"/>
          <w:bCs w:val="0"/>
          <w:color w:val="auto"/>
          <w:sz w:val="32"/>
          <w:szCs w:val="32"/>
          <w:highlight w:val="none"/>
          <w:lang w:val="en-US" w:eastAsia="zh-CN"/>
        </w:rPr>
      </w:pPr>
    </w:p>
    <w:p>
      <w:pPr>
        <w:pStyle w:val="2"/>
        <w:ind w:left="0" w:leftChars="0" w:firstLine="0" w:firstLineChars="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一、服务内容和标准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69" w:type="dxa"/>
            <w:noWrap w:val="0"/>
            <w:vAlign w:val="center"/>
          </w:tcPr>
          <w:p>
            <w:pPr>
              <w:pStyle w:val="2"/>
              <w:ind w:firstLine="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内容</w:t>
            </w:r>
          </w:p>
        </w:tc>
        <w:tc>
          <w:tcPr>
            <w:tcW w:w="7678" w:type="dxa"/>
            <w:noWrap w:val="0"/>
            <w:vAlign w:val="center"/>
          </w:tcPr>
          <w:p>
            <w:pPr>
              <w:pStyle w:val="2"/>
              <w:ind w:firstLine="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场馆建设</w:t>
            </w: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各镇（区）人民政府规划建设与当地经济发展水平、人口状况和服务要求相适应的公共文化设施。市按照建设标准建立公共图书馆、博物馆、文化馆；镇（街道）按照建设标准建立综合文化站、文体广场（全民健身广场）等；行政村（社区）按照建设标准建立综合性文化服务中心、文体广场（全民健身广场）等。市建设体育场、全民健身广场、体育馆、游泳池（馆），全民健身中心。条件允许下建设公共美术馆、演艺场馆和非遗展示场馆（所）。鼓励有条件的乡镇（街道）建立独立的公共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 xml:space="preserve">2.2025年底，每万人室内公共文化设施面积不少于1306平方米。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3.根据国家公共图书馆、文化馆评估定级标准持续提升服务效能，县级以上公共图书馆、文化馆达到国家二级馆以上标准。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4.结合经济社会发展水平、人口状况等，推动公共文化设施均衡科学布局，推进打造一批城市书吧、文化驿站、文化小景观等新型城乡文化空间。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提质增效</w:t>
            </w: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5.深入推进县级文化馆、图书馆总分馆制建设，根据群众需求合理布局分馆或服务点，2025年底，县级文化馆、图书馆分馆覆盖乡镇（街道）的比例不少于60%，每个分馆设置的服务点不少于3个。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numPr>
                <w:ilvl w:val="0"/>
                <w:numId w:val="0"/>
              </w:numPr>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6.公共图书馆总流通人次年人均达到1次。文化馆（站）线下服务人次年人均达到0.5次，线上服务人次年人均达到0.5次；其中文化馆（站）进馆（站）人次年人均达到0.25次，镇（街道）综合文化站月均进站服务人次达到300人次（不含文体广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7.推动行政村（社区）综合性文化服务中心提质增效，2025年底，提质增效达标比例不少于行政村（社区）数量的80%。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color w:val="auto"/>
                <w:szCs w:val="21"/>
                <w:highlight w:val="none"/>
                <w:lang w:val="en-US" w:eastAsia="zh-CN"/>
              </w:rPr>
              <w:t>8.</w:t>
            </w:r>
            <w:r>
              <w:rPr>
                <w:rFonts w:hint="eastAsia" w:ascii="仿宋_GB2312" w:hAnsi="仿宋_GB2312" w:eastAsia="仿宋_GB2312" w:cs="仿宋_GB2312"/>
                <w:b w:val="0"/>
                <w:bCs/>
                <w:color w:val="auto"/>
                <w:szCs w:val="21"/>
                <w:highlight w:val="none"/>
                <w:lang w:eastAsia="zh-CN"/>
              </w:rPr>
              <w:t>县级公共</w:t>
            </w:r>
            <w:r>
              <w:rPr>
                <w:rFonts w:hint="eastAsia" w:ascii="仿宋_GB2312" w:hAnsi="仿宋_GB2312" w:eastAsia="仿宋_GB2312" w:cs="仿宋_GB2312"/>
                <w:b w:val="0"/>
                <w:bCs/>
                <w:color w:val="auto"/>
                <w:szCs w:val="21"/>
                <w:highlight w:val="none"/>
              </w:rPr>
              <w:t>图书馆每年下基层服务不低于</w:t>
            </w:r>
            <w:r>
              <w:rPr>
                <w:rFonts w:hint="eastAsia" w:ascii="仿宋_GB2312" w:hAnsi="仿宋_GB2312" w:eastAsia="仿宋_GB2312" w:cs="仿宋_GB2312"/>
                <w:b w:val="0"/>
                <w:bCs/>
                <w:color w:val="auto"/>
                <w:szCs w:val="21"/>
                <w:highlight w:val="none"/>
                <w:lang w:val="en-US" w:eastAsia="zh-CN"/>
              </w:rPr>
              <w:t>23</w:t>
            </w:r>
            <w:r>
              <w:rPr>
                <w:rFonts w:hint="eastAsia" w:ascii="仿宋_GB2312" w:hAnsi="仿宋_GB2312" w:eastAsia="仿宋_GB2312" w:cs="仿宋_GB2312"/>
                <w:b w:val="0"/>
                <w:bCs/>
                <w:color w:val="auto"/>
                <w:szCs w:val="21"/>
                <w:highlight w:val="none"/>
              </w:rPr>
              <w:t>次</w:t>
            </w:r>
            <w:r>
              <w:rPr>
                <w:rFonts w:hint="eastAsia" w:ascii="仿宋_GB2312" w:hAnsi="仿宋_GB2312" w:eastAsia="仿宋_GB2312" w:cs="仿宋_GB2312"/>
                <w:b w:val="0"/>
                <w:bCs/>
                <w:color w:val="auto"/>
                <w:szCs w:val="21"/>
                <w:highlight w:val="none"/>
                <w:lang w:eastAsia="zh-CN"/>
              </w:rPr>
              <w:t>；县级</w:t>
            </w:r>
            <w:r>
              <w:rPr>
                <w:rFonts w:hint="eastAsia" w:ascii="仿宋_GB2312" w:hAnsi="仿宋_GB2312" w:eastAsia="仿宋_GB2312" w:cs="仿宋_GB2312"/>
                <w:b w:val="0"/>
                <w:bCs/>
                <w:color w:val="auto"/>
                <w:szCs w:val="21"/>
                <w:highlight w:val="none"/>
              </w:rPr>
              <w:t>文化馆每年组织流动演出</w:t>
            </w:r>
            <w:r>
              <w:rPr>
                <w:rFonts w:hint="eastAsia" w:ascii="仿宋_GB2312" w:hAnsi="仿宋_GB2312" w:eastAsia="仿宋_GB2312" w:cs="仿宋_GB2312"/>
                <w:b w:val="0"/>
                <w:bCs/>
                <w:color w:val="auto"/>
                <w:szCs w:val="21"/>
                <w:highlight w:val="none"/>
                <w:lang w:eastAsia="zh-CN"/>
              </w:rPr>
              <w:t>不少于</w:t>
            </w:r>
            <w:r>
              <w:rPr>
                <w:rFonts w:hint="eastAsia" w:ascii="仿宋_GB2312" w:hAnsi="仿宋_GB2312" w:eastAsia="仿宋_GB2312" w:cs="仿宋_GB2312"/>
                <w:b w:val="0"/>
                <w:bCs/>
                <w:color w:val="auto"/>
                <w:szCs w:val="21"/>
                <w:highlight w:val="none"/>
                <w:lang w:val="en-US" w:eastAsia="zh-CN"/>
              </w:rPr>
              <w:t>8场</w:t>
            </w:r>
            <w:r>
              <w:rPr>
                <w:rFonts w:hint="eastAsia" w:ascii="仿宋_GB2312" w:hAnsi="仿宋_GB2312" w:eastAsia="仿宋_GB2312" w:cs="仿宋_GB2312"/>
                <w:b w:val="0"/>
                <w:bCs/>
                <w:color w:val="auto"/>
                <w:szCs w:val="21"/>
                <w:highlight w:val="none"/>
              </w:rPr>
              <w:t>，流动展览</w:t>
            </w:r>
            <w:r>
              <w:rPr>
                <w:rFonts w:hint="eastAsia" w:ascii="仿宋_GB2312" w:hAnsi="仿宋_GB2312" w:eastAsia="仿宋_GB2312" w:cs="仿宋_GB2312"/>
                <w:b w:val="0"/>
                <w:bCs/>
                <w:color w:val="auto"/>
                <w:szCs w:val="21"/>
                <w:highlight w:val="none"/>
                <w:lang w:eastAsia="zh-CN"/>
              </w:rPr>
              <w:t>不少于</w:t>
            </w:r>
            <w:r>
              <w:rPr>
                <w:rFonts w:hint="eastAsia" w:ascii="仿宋_GB2312" w:hAnsi="仿宋_GB2312" w:eastAsia="仿宋_GB2312" w:cs="仿宋_GB2312"/>
                <w:b w:val="0"/>
                <w:bCs/>
                <w:color w:val="auto"/>
                <w:szCs w:val="21"/>
                <w:highlight w:val="none"/>
                <w:lang w:val="en-US" w:eastAsia="zh-CN"/>
              </w:rPr>
              <w:t>6</w:t>
            </w:r>
            <w:r>
              <w:rPr>
                <w:rFonts w:hint="eastAsia" w:ascii="仿宋_GB2312" w:hAnsi="仿宋_GB2312" w:eastAsia="仿宋_GB2312" w:cs="仿宋_GB2312"/>
                <w:b w:val="0"/>
                <w:bCs/>
                <w:color w:val="auto"/>
                <w:szCs w:val="21"/>
                <w:highlight w:val="none"/>
              </w:rPr>
              <w:t>场</w:t>
            </w:r>
            <w:r>
              <w:rPr>
                <w:rFonts w:hint="eastAsia" w:ascii="仿宋_GB2312" w:hAnsi="仿宋_GB2312" w:eastAsia="仿宋_GB2312" w:cs="仿宋_GB2312"/>
                <w:b w:val="0"/>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9.推动具备条件的公共文化设施，因地制宜融入旅游服务功能，全市打造不少于3家文旅融合公共服务机构。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辅助设施</w:t>
            </w: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10.各级公共文化场馆为残障人士配置无障碍设施。县级以上公共图书馆设置视障人士阅读室（区域），配置盲文图书、有声读物、大字读物及辅助阅听设备。县级以上公共图书馆为老年人配置阅读、视听辅助设施。鼓励县级以上公共文化场馆配备母婴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11.各级公共图书馆、文化馆根据需要配备流动文化服务车，或通过购买服务方式实现流动文化服务。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12.根据基层实际，公共文化场馆设立公共文化服务自助设施设备。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图书报刊</w:t>
            </w:r>
          </w:p>
        </w:tc>
        <w:tc>
          <w:tcPr>
            <w:tcW w:w="7678" w:type="dxa"/>
            <w:noWrap w:val="0"/>
            <w:vAlign w:val="center"/>
          </w:tcPr>
          <w:p>
            <w:pPr>
              <w:pStyle w:val="2"/>
              <w:ind w:firstLine="0" w:firstLineChars="0"/>
              <w:jc w:val="both"/>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13.2025年底，公共图书馆人均公共藏书不少于1.25册。公共图书馆实际持证率达到常住人口的10%。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firstLineChars="0"/>
              <w:jc w:val="both"/>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14.县级以上公共图书馆每年举办全民阅读推广活动不少于6次，打造1个以上区域性全民阅读活动品牌。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firstLineChars="0"/>
              <w:jc w:val="both"/>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15.公共图书馆（室）提供一定数量的本地区红色文化专题读物。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669" w:type="dxa"/>
            <w:noWrap w:val="0"/>
            <w:vAlign w:val="center"/>
          </w:tcPr>
          <w:p>
            <w:pPr>
              <w:pStyle w:val="2"/>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广播电视</w:t>
            </w:r>
          </w:p>
        </w:tc>
        <w:tc>
          <w:tcPr>
            <w:tcW w:w="7678" w:type="dxa"/>
            <w:noWrap w:val="0"/>
            <w:vAlign w:val="center"/>
          </w:tcPr>
          <w:p>
            <w:pPr>
              <w:pStyle w:val="2"/>
              <w:ind w:left="0" w:leftChars="0" w:firstLine="0" w:firstLineChars="0"/>
              <w:jc w:val="both"/>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vertAlign w:val="baseline"/>
                <w:lang w:val="en-US" w:eastAsia="zh-CN"/>
              </w:rPr>
              <w:t>16.2025年底，广播电视播出传输覆盖网络基础设施建设达标比例不少于80%。广播电视有线网络乡村通达率不少于90%。有线高清交互数字电视家庭用户普及比例不少于80%。智慧广电公共服务应用用户（“用电视”）普及比例不少于80%。县级以上广播电视和网络视听节目机构从业人员每年参加线下线上集中培训时间不少于15天，乡镇（街道）和行政村（社区）广播电视维护维修服务站（网点）人员每年参加线下线上集中培训时间不少于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文艺演出</w:t>
            </w:r>
          </w:p>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和培训</w:t>
            </w: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17.</w:t>
            </w:r>
            <w:r>
              <w:rPr>
                <w:rFonts w:hint="eastAsia" w:ascii="仿宋_GB2312" w:hAnsi="仿宋_GB2312" w:eastAsia="仿宋_GB2312" w:cs="仿宋_GB2312"/>
                <w:b w:val="0"/>
                <w:bCs w:val="0"/>
                <w:color w:val="auto"/>
                <w:sz w:val="21"/>
                <w:szCs w:val="21"/>
                <w:highlight w:val="none"/>
                <w:u w:val="none"/>
                <w:vertAlign w:val="baseline"/>
                <w:lang w:val="en-US" w:eastAsia="zh-CN"/>
              </w:rPr>
              <w:t>每年举办专业艺术演出不得少于12场，其中戏曲演出不得少于2场。</w:t>
            </w:r>
            <w:r>
              <w:rPr>
                <w:rFonts w:hint="eastAsia" w:ascii="仿宋_GB2312" w:hAnsi="仿宋_GB2312" w:eastAsia="仿宋_GB2312" w:cs="仿宋_GB2312"/>
                <w:b w:val="0"/>
                <w:bCs w:val="0"/>
                <w:color w:val="auto"/>
                <w:sz w:val="21"/>
                <w:szCs w:val="21"/>
                <w:highlight w:val="none"/>
                <w:vertAlign w:val="baseline"/>
                <w:lang w:val="en-US" w:eastAsia="zh-CN"/>
              </w:rPr>
              <w:t>县级以上文化馆提供全民艺术普及门类不少于4种，每个乡镇（街道）综合文化站提供全民艺术普及门类不少于3种，每个行政村（社区）综合性文化服务中心提供全民艺术普及门类不少于2种。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18.每个乡镇（街道）综合文化站每年组织文艺演出、展览、培训等文体活动不少于9次，每个行政村（社区）综合性文化服务中心每年举办文体活动不少于2次。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69"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陈列展览</w:t>
            </w:r>
          </w:p>
        </w:tc>
        <w:tc>
          <w:tcPr>
            <w:tcW w:w="7678" w:type="dxa"/>
            <w:noWrap w:val="0"/>
            <w:vAlign w:val="center"/>
          </w:tcPr>
          <w:p>
            <w:pPr>
              <w:pStyle w:val="2"/>
              <w:ind w:left="0" w:leftChars="0"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19.县级博物馆每年举办展览不少于1个。每年举办美术展览不少于1个。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数字文化</w:t>
            </w:r>
          </w:p>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服务</w:t>
            </w:r>
          </w:p>
        </w:tc>
        <w:tc>
          <w:tcPr>
            <w:tcW w:w="7678" w:type="dxa"/>
            <w:noWrap w:val="0"/>
            <w:vAlign w:val="center"/>
          </w:tcPr>
          <w:p>
            <w:pPr>
              <w:pStyle w:val="2"/>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20.各级公共文化场馆提供免费无线上网服务，县级以上公共图书馆按照规定设置电子阅览室；乡镇（街道）综合文化站提供公用上网设备不少于3台；行政村（社区）综合性文化服务中心提供公用上网设备不少于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9" w:type="dxa"/>
            <w:vMerge w:val="continue"/>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21.县级以上公共图书馆、文化馆具备数字服务能力，鼓励公共文化场馆利用新媒体开展公共文化服务。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firstLineChars="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22.县级以上公共图书馆自建数字资源总量不少于2TB，能够提供可远程访问的数字资源。县级以上文化馆数字化服务类型不少于2种，音视频资源时长不少于50个小时。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69" w:type="dxa"/>
            <w:vMerge w:val="restart"/>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人员配置</w:t>
            </w: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23.县级以上公共文化机构按照职能和当地人力资源社会保障、编办等部门核准的编制数配齐工作人员。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left="0" w:leftChars="0" w:firstLine="0" w:firstLineChars="0"/>
              <w:jc w:val="both"/>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25.乡镇（街道）综合文化站配备专职工作人员1-2 名，规模较大的乡镇（街道）适当增加。专职人员应具备公共文化体育服务的知识技能，应保障公共文化服务和活动正常开展。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69" w:type="dxa"/>
            <w:vMerge w:val="continue"/>
            <w:noWrap w:val="0"/>
            <w:vAlign w:val="center"/>
          </w:tcPr>
          <w:p>
            <w:pPr>
              <w:pStyle w:val="2"/>
              <w:jc w:val="both"/>
              <w:rPr>
                <w:rFonts w:hint="eastAsia" w:ascii="仿宋_GB2312" w:hAnsi="仿宋_GB2312" w:eastAsia="仿宋_GB2312" w:cs="仿宋_GB2312"/>
                <w:b w:val="0"/>
                <w:bCs w:val="0"/>
                <w:color w:val="auto"/>
                <w:sz w:val="21"/>
                <w:szCs w:val="21"/>
                <w:highlight w:val="none"/>
                <w:vertAlign w:val="baseline"/>
                <w:lang w:val="en-US" w:eastAsia="zh-CN"/>
              </w:rPr>
            </w:pP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25.行政村（社区）综合性文化服务中心至少配备1名专（兼）职工作人员。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669"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业务培训</w:t>
            </w:r>
          </w:p>
        </w:tc>
        <w:tc>
          <w:tcPr>
            <w:tcW w:w="7678" w:type="dxa"/>
            <w:noWrap w:val="0"/>
            <w:vAlign w:val="center"/>
          </w:tcPr>
          <w:p>
            <w:pPr>
              <w:pStyle w:val="2"/>
              <w:ind w:firstLine="0"/>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26.县级以上公共图书馆、文化馆从业人员每年参加线上线下业务培训时间不少于15天；乡镇（街道）文化专职人员每年参加线上线下业务培训次数不少于2次，时间不少于5天；行政村（社区）文化专兼职人员每年参加线上线下业务培训次数不少于2次，时间不少于3天。</w:t>
            </w:r>
          </w:p>
        </w:tc>
      </w:tr>
    </w:tbl>
    <w:p>
      <w:pPr>
        <w:ind w:firstLine="420" w:firstLineChars="200"/>
        <w:jc w:val="both"/>
        <w:rPr>
          <w:rFonts w:hint="eastAsia" w:ascii="黑体" w:hAnsi="黑体" w:eastAsia="黑体" w:cs="黑体"/>
          <w:b w:val="0"/>
          <w:bCs w:val="0"/>
          <w:color w:val="auto"/>
          <w:sz w:val="21"/>
          <w:szCs w:val="21"/>
          <w:lang w:val="en-US" w:eastAsia="zh-CN"/>
        </w:rPr>
      </w:pPr>
    </w:p>
    <w:p>
      <w:pPr>
        <w:ind w:firstLine="640" w:firstLineChars="200"/>
        <w:jc w:val="both"/>
        <w:rPr>
          <w:rFonts w:hint="eastAsia" w:ascii="仿宋_GB2312" w:hAnsi="仿宋_GB2312" w:eastAsia="仿宋_GB2312" w:cs="仿宋_GB2312"/>
          <w:b w:val="0"/>
          <w:bCs w:val="0"/>
          <w:color w:val="auto"/>
          <w:sz w:val="28"/>
          <w:szCs w:val="28"/>
          <w:lang w:val="en-US" w:eastAsia="zh-CN"/>
        </w:rPr>
      </w:pPr>
      <w:r>
        <w:rPr>
          <w:rFonts w:hint="eastAsia" w:ascii="黑体" w:hAnsi="黑体" w:eastAsia="黑体" w:cs="黑体"/>
          <w:b w:val="0"/>
          <w:bCs w:val="0"/>
          <w:color w:val="auto"/>
          <w:sz w:val="32"/>
          <w:szCs w:val="32"/>
          <w:lang w:val="en-US" w:eastAsia="zh-CN"/>
        </w:rPr>
        <w:t>二、标准实施</w:t>
      </w:r>
    </w:p>
    <w:p>
      <w:pPr>
        <w:pStyle w:val="2"/>
        <w:ind w:left="0"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（一）标准定义。</w:t>
      </w:r>
      <w:r>
        <w:rPr>
          <w:rFonts w:hint="eastAsia" w:ascii="仿宋_GB2312" w:hAnsi="仿宋_GB2312" w:eastAsia="仿宋_GB2312" w:cs="仿宋_GB2312"/>
          <w:b w:val="0"/>
          <w:bCs w:val="0"/>
          <w:color w:val="auto"/>
          <w:sz w:val="32"/>
          <w:szCs w:val="32"/>
          <w:lang w:val="en-US" w:eastAsia="zh-CN"/>
        </w:rPr>
        <w:t>我市公共文化服务标准主要包括基本公共文化服务标准和普惠性公共文化服务标准。基本公共文化服务标准参照省发展改革委联合多部门印发的《广东省基本公共服务标准（2021年版）》实施。</w:t>
      </w:r>
      <w:r>
        <w:rPr>
          <w:rFonts w:hint="eastAsia" w:ascii="仿宋_GB2312" w:hAnsi="仿宋_GB2312" w:eastAsia="仿宋_GB2312" w:cs="仿宋_GB2312"/>
          <w:b w:val="0"/>
          <w:bCs w:val="0"/>
          <w:color w:val="auto"/>
          <w:sz w:val="32"/>
          <w:szCs w:val="32"/>
          <w:highlight w:val="none"/>
          <w:lang w:val="en-US" w:eastAsia="zh-CN"/>
        </w:rPr>
        <w:t>《陆丰市公共文化服务实施标准（2021—2025年）》为普惠性公共文化服务标准，即由</w:t>
      </w:r>
      <w:r>
        <w:rPr>
          <w:rFonts w:hint="eastAsia" w:ascii="仿宋_GB2312" w:hAnsi="仿宋_GB2312" w:eastAsia="仿宋_GB2312" w:cs="仿宋_GB2312"/>
          <w:b w:val="0"/>
          <w:bCs w:val="0"/>
          <w:color w:val="auto"/>
          <w:sz w:val="32"/>
          <w:szCs w:val="32"/>
          <w:lang w:val="en-US" w:eastAsia="zh-CN"/>
        </w:rPr>
        <w:t>政府主导、社会参与推动各地落实的公共文化服务标准，作为基本公共文化服务标准的有效补充。</w:t>
      </w:r>
    </w:p>
    <w:p>
      <w:pPr>
        <w:pStyle w:val="2"/>
        <w:ind w:left="0" w:leftChars="0" w:firstLine="640" w:firstLineChars="200"/>
        <w:jc w:val="both"/>
        <w:rPr>
          <w:rFonts w:hint="default" w:ascii="楷体" w:hAnsi="楷体" w:eastAsia="楷体" w:cs="楷体"/>
          <w:b/>
          <w:bCs/>
          <w:color w:val="auto"/>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（二）实施要求。</w:t>
      </w:r>
      <w:r>
        <w:rPr>
          <w:rFonts w:hint="eastAsia" w:ascii="仿宋_GB2312" w:hAnsi="仿宋_GB2312" w:eastAsia="仿宋_GB2312" w:cs="仿宋_GB2312"/>
          <w:b w:val="0"/>
          <w:bCs w:val="0"/>
          <w:color w:val="auto"/>
          <w:sz w:val="32"/>
          <w:szCs w:val="32"/>
          <w:lang w:val="en-US" w:eastAsia="zh-CN"/>
        </w:rPr>
        <w:t>本标准从2021年开始，以镇（区）、行政村（社区）为单位根据分工实施。各镇（区）要坚持政府主导、社会参与的原则，根据本地制定的标准，明确具体落实措施、工作步骤和时间安排，确保标准实施工作科学、规范、有序开展。</w:t>
      </w:r>
    </w:p>
    <w:p>
      <w:pPr>
        <w:pStyle w:val="2"/>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（三）效能导向。</w:t>
      </w:r>
      <w:r>
        <w:rPr>
          <w:rFonts w:hint="eastAsia" w:ascii="仿宋_GB2312" w:hAnsi="仿宋_GB2312" w:eastAsia="仿宋_GB2312" w:cs="仿宋_GB2312"/>
          <w:b w:val="0"/>
          <w:bCs w:val="0"/>
          <w:color w:val="auto"/>
          <w:sz w:val="32"/>
          <w:szCs w:val="32"/>
          <w:lang w:val="en-US" w:eastAsia="zh-CN"/>
        </w:rPr>
        <w:t>各镇（区）要有效落实公共文化建设主体责任，建立动态的监测机制和绩效评价机制，加强指导督促检查，总结推广经验。我局将会同有关部门，引入社会第三方开展公共文化服务评价、暗访调查和群众满意度调查，并实时进行结果通报。</w:t>
      </w:r>
    </w:p>
    <w:p>
      <w:pPr>
        <w:rPr>
          <w:rFonts w:hint="eastAsia" w:ascii="仿宋_GB2312" w:hAnsi="仿宋_GB2312" w:eastAsia="仿宋_GB2312" w:cs="仿宋_GB2312"/>
          <w:sz w:val="32"/>
          <w:szCs w:val="32"/>
        </w:rPr>
      </w:pPr>
    </w:p>
    <w:sectPr>
      <w:footerReference r:id="rId3" w:type="default"/>
      <w:pgSz w:w="11906" w:h="16838"/>
      <w:pgMar w:top="121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NTljZTVhOWM3NGIxMTgxYzRmMWZhOGFjYjIzZTAifQ=="/>
  </w:docVars>
  <w:rsids>
    <w:rsidRoot w:val="00000000"/>
    <w:rsid w:val="0927469F"/>
    <w:rsid w:val="0B2C0A4F"/>
    <w:rsid w:val="150F0169"/>
    <w:rsid w:val="2DD6439F"/>
    <w:rsid w:val="35A833E2"/>
    <w:rsid w:val="37053E22"/>
    <w:rsid w:val="41976D6C"/>
    <w:rsid w:val="447C085B"/>
    <w:rsid w:val="4CC85B01"/>
    <w:rsid w:val="4E0D7929"/>
    <w:rsid w:val="5060489B"/>
    <w:rsid w:val="5B8C1435"/>
    <w:rsid w:val="5EC87A76"/>
    <w:rsid w:val="65554E29"/>
    <w:rsid w:val="68DF0BA5"/>
    <w:rsid w:val="69452549"/>
    <w:rsid w:val="7117129E"/>
    <w:rsid w:val="72676064"/>
    <w:rsid w:val="77183DD1"/>
    <w:rsid w:val="7B4C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2673</Words>
  <Characters>2833</Characters>
  <Lines>0</Lines>
  <Paragraphs>0</Paragraphs>
  <TotalTime>50</TotalTime>
  <ScaleCrop>false</ScaleCrop>
  <LinksUpToDate>false</LinksUpToDate>
  <CharactersWithSpaces>2961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2022-02-22T09:16:00Z</dcterms:created>
  <dc:creator>lenovo</dc:creator>
  <cp:lastModifiedBy>29853</cp:lastModifiedBy>
  <cp:lastPrinted>2022-07-19T04:16:00Z</cp:lastPrinted>
  <dcterms:modified xsi:type="dcterms:W3CDTF">2023-06-20T02:47:51Z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C40903FCD55D4D9D89AC988734314233_13</vt:lpwstr>
  </property>
</Properties>
</file>