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3</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陆丰市</w:t>
      </w:r>
      <w:r>
        <w:rPr>
          <w:rFonts w:hint="eastAsia" w:eastAsia="方正小标宋简体"/>
          <w:kern w:val="0"/>
          <w:sz w:val="44"/>
          <w:szCs w:val="44"/>
          <w:lang w:eastAsia="zh-CN"/>
        </w:rPr>
        <w:t>休闲服装</w:t>
      </w:r>
      <w:r>
        <w:rPr>
          <w:rFonts w:hint="eastAsia" w:ascii="方正小标宋简体" w:hAnsi="方正小标宋简体" w:eastAsia="方正小标宋简体" w:cs="方正小标宋简体"/>
          <w:kern w:val="0"/>
          <w:sz w:val="44"/>
          <w:szCs w:val="44"/>
        </w:rPr>
        <w:t>产品质量监督抽查</w:t>
      </w:r>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b/>
          <w:bCs/>
          <w:szCs w:val="32"/>
        </w:rPr>
      </w:pPr>
    </w:p>
    <w:p>
      <w:pPr>
        <w:numPr>
          <w:ilvl w:val="0"/>
          <w:numId w:val="0"/>
        </w:numPr>
        <w:spacing w:line="600" w:lineRule="exact"/>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一、抽样方法</w:t>
      </w:r>
    </w:p>
    <w:p>
      <w:p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以随机抽样的方式在被抽查市场主体的待销产品中抽取。</w:t>
      </w:r>
      <w:bookmarkStart w:id="0" w:name="_GoBack"/>
      <w:bookmarkEnd w:id="0"/>
    </w:p>
    <w:p>
      <w:p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随机数一般可使用随机数表等方法产生。</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抽查数量：</w:t>
      </w:r>
      <w:r>
        <w:rPr>
          <w:rFonts w:hint="eastAsia" w:ascii="仿宋_GB2312" w:hAnsi="仿宋_GB2312" w:eastAsia="仿宋_GB2312" w:cs="仿宋_GB2312"/>
          <w:kern w:val="0"/>
          <w:sz w:val="32"/>
          <w:szCs w:val="32"/>
        </w:rPr>
        <w:t>每款产品抽取2组样本，第1组用于检验，第2组用于备用。每组样品需抽取样品数量如下表所示：</w:t>
      </w:r>
    </w:p>
    <w:p>
      <w:pPr>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休闲服装：</w:t>
      </w:r>
      <w:r>
        <w:rPr>
          <w:rFonts w:hint="eastAsia" w:ascii="仿宋_GB2312" w:hAnsi="仿宋_GB2312" w:eastAsia="仿宋_GB2312" w:cs="仿宋_GB2312"/>
          <w:color w:val="000000"/>
          <w:sz w:val="32"/>
          <w:szCs w:val="32"/>
        </w:rPr>
        <w:t>包括茄克衫、牛仔服装、针织牛仔服装、毛衣、连衣裙、裙套、棉服装、水洗整理服装、针织T恤衫、衬衫、针织休闲服装、针织保暖内衣、针织运动服、风衣、丝绸围巾、披肩、针织工艺衫、单、夹服装、针织裙套、化纤针织内衣、棉针织内衣、针织裤</w:t>
      </w:r>
      <w:r>
        <w:rPr>
          <w:rFonts w:hint="eastAsia" w:ascii="仿宋_GB2312" w:hAnsi="仿宋_GB2312" w:eastAsia="仿宋_GB2312" w:cs="仿宋_GB2312"/>
          <w:color w:val="000000"/>
          <w:sz w:val="32"/>
          <w:szCs w:val="32"/>
          <w:lang w:eastAsia="zh-CN"/>
        </w:rPr>
        <w:t>、皮革服装、低含毛混纺及仿毛针织品</w:t>
      </w:r>
      <w:r>
        <w:rPr>
          <w:rFonts w:hint="eastAsia" w:ascii="仿宋_GB2312" w:hAnsi="仿宋_GB2312" w:eastAsia="仿宋_GB2312" w:cs="仿宋_GB2312"/>
          <w:color w:val="000000"/>
          <w:sz w:val="32"/>
          <w:szCs w:val="32"/>
        </w:rPr>
        <w:t>等。</w:t>
      </w:r>
    </w:p>
    <w:tbl>
      <w:tblPr>
        <w:tblStyle w:val="2"/>
        <w:tblW w:w="8121"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514"/>
        <w:gridCol w:w="2497"/>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dxa"/>
            <w:vAlign w:val="center"/>
          </w:tcPr>
          <w:p>
            <w:pPr>
              <w:spacing w:line="400" w:lineRule="exact"/>
              <w:jc w:val="center"/>
              <w:rPr>
                <w:szCs w:val="32"/>
              </w:rPr>
            </w:pPr>
            <w:r>
              <w:rPr>
                <w:szCs w:val="32"/>
              </w:rPr>
              <w:t>序号</w:t>
            </w:r>
          </w:p>
        </w:tc>
        <w:tc>
          <w:tcPr>
            <w:tcW w:w="2514" w:type="dxa"/>
            <w:vAlign w:val="center"/>
          </w:tcPr>
          <w:p>
            <w:pPr>
              <w:spacing w:line="400" w:lineRule="exact"/>
              <w:jc w:val="center"/>
              <w:rPr>
                <w:szCs w:val="32"/>
              </w:rPr>
            </w:pPr>
            <w:r>
              <w:rPr>
                <w:szCs w:val="32"/>
              </w:rPr>
              <w:t>产品名称</w:t>
            </w:r>
          </w:p>
        </w:tc>
        <w:tc>
          <w:tcPr>
            <w:tcW w:w="2497" w:type="dxa"/>
            <w:vAlign w:val="center"/>
          </w:tcPr>
          <w:p>
            <w:pPr>
              <w:spacing w:line="400" w:lineRule="exact"/>
              <w:jc w:val="center"/>
              <w:rPr>
                <w:szCs w:val="32"/>
              </w:rPr>
            </w:pPr>
            <w:r>
              <w:rPr>
                <w:szCs w:val="32"/>
              </w:rPr>
              <w:t>第1组数量</w:t>
            </w:r>
          </w:p>
        </w:tc>
        <w:tc>
          <w:tcPr>
            <w:tcW w:w="2427" w:type="dxa"/>
            <w:vAlign w:val="top"/>
          </w:tcPr>
          <w:p>
            <w:pPr>
              <w:spacing w:line="400" w:lineRule="exact"/>
              <w:jc w:val="center"/>
              <w:rPr>
                <w:szCs w:val="32"/>
              </w:rPr>
            </w:pPr>
            <w:r>
              <w:rPr>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83" w:type="dxa"/>
            <w:vAlign w:val="center"/>
          </w:tcPr>
          <w:p>
            <w:pPr>
              <w:spacing w:line="400" w:lineRule="exact"/>
              <w:jc w:val="center"/>
              <w:rPr>
                <w:rFonts w:hint="eastAsia" w:eastAsia="仿宋_GB2312"/>
                <w:szCs w:val="32"/>
                <w:lang w:val="en-US" w:eastAsia="zh-CN"/>
              </w:rPr>
            </w:pPr>
            <w:r>
              <w:rPr>
                <w:rFonts w:hint="eastAsia"/>
                <w:szCs w:val="32"/>
                <w:lang w:val="en-US" w:eastAsia="zh-CN"/>
              </w:rPr>
              <w:t>1</w:t>
            </w:r>
          </w:p>
        </w:tc>
        <w:tc>
          <w:tcPr>
            <w:tcW w:w="2514" w:type="dxa"/>
            <w:vAlign w:val="center"/>
          </w:tcPr>
          <w:p>
            <w:pPr>
              <w:adjustRightInd w:val="0"/>
              <w:snapToGrid w:val="0"/>
              <w:spacing w:line="400" w:lineRule="exact"/>
              <w:jc w:val="center"/>
              <w:rPr>
                <w:rFonts w:hint="eastAsia" w:ascii="宋体" w:hAnsi="宋体" w:eastAsia="仿宋_GB2312" w:cs="宋体"/>
                <w:szCs w:val="21"/>
                <w:lang w:eastAsia="zh-CN"/>
              </w:rPr>
            </w:pPr>
            <w:r>
              <w:rPr>
                <w:rFonts w:hint="eastAsia" w:ascii="宋体" w:hAnsi="宋体" w:cs="宋体"/>
                <w:szCs w:val="21"/>
                <w:lang w:eastAsia="zh-CN"/>
              </w:rPr>
              <w:t>休闲服装</w:t>
            </w:r>
          </w:p>
        </w:tc>
        <w:tc>
          <w:tcPr>
            <w:tcW w:w="2497" w:type="dxa"/>
            <w:vAlign w:val="center"/>
          </w:tcPr>
          <w:p>
            <w:pPr>
              <w:adjustRightInd w:val="0"/>
              <w:snapToGrid w:val="0"/>
              <w:spacing w:line="400" w:lineRule="exact"/>
              <w:jc w:val="center"/>
              <w:rPr>
                <w:rFonts w:hint="eastAsia"/>
                <w:szCs w:val="32"/>
                <w:lang w:val="en-US" w:eastAsia="zh-CN"/>
              </w:rPr>
            </w:pPr>
            <w:r>
              <w:rPr>
                <w:rFonts w:hint="eastAsia" w:ascii="宋体" w:hAnsi="宋体"/>
                <w:szCs w:val="21"/>
              </w:rPr>
              <w:t>1件（条/套）</w:t>
            </w:r>
          </w:p>
        </w:tc>
        <w:tc>
          <w:tcPr>
            <w:tcW w:w="2427" w:type="dxa"/>
            <w:vAlign w:val="center"/>
          </w:tcPr>
          <w:p>
            <w:pPr>
              <w:adjustRightInd w:val="0"/>
              <w:snapToGrid w:val="0"/>
              <w:spacing w:line="400" w:lineRule="exact"/>
              <w:jc w:val="center"/>
              <w:rPr>
                <w:rFonts w:hint="eastAsia"/>
                <w:szCs w:val="32"/>
                <w:lang w:val="en-US" w:eastAsia="zh-CN"/>
              </w:rPr>
            </w:pPr>
            <w:r>
              <w:rPr>
                <w:rFonts w:hint="eastAsia" w:ascii="宋体" w:hAnsi="宋体"/>
                <w:szCs w:val="21"/>
              </w:rPr>
              <w:t>1件（条/套）</w:t>
            </w:r>
          </w:p>
        </w:tc>
      </w:tr>
    </w:tbl>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抽样方法：确定被抽样对象应符合</w:t>
      </w:r>
      <w:r>
        <w:rPr>
          <w:rFonts w:hint="eastAsia" w:ascii="仿宋_GB2312" w:hAnsi="仿宋_GB2312" w:eastAsia="仿宋_GB2312" w:cs="仿宋_GB2312"/>
          <w:kern w:val="0"/>
          <w:sz w:val="32"/>
          <w:szCs w:val="32"/>
        </w:rPr>
        <w:t>T/GDAQI 020-202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《产品质量监督抽查抽样检验技术服务规范》5.3.3.3</w:t>
      </w:r>
      <w:r>
        <w:rPr>
          <w:rFonts w:hint="eastAsia" w:ascii="仿宋_GB2312" w:hAnsi="仿宋_GB2312" w:eastAsia="仿宋_GB2312" w:cs="仿宋_GB2312"/>
          <w:kern w:val="0"/>
          <w:sz w:val="32"/>
          <w:szCs w:val="32"/>
          <w:lang w:eastAsia="zh-CN"/>
        </w:rPr>
        <w:t>和第</w:t>
      </w:r>
      <w:r>
        <w:rPr>
          <w:rFonts w:hint="eastAsia" w:ascii="仿宋_GB2312" w:hAnsi="仿宋_GB2312" w:eastAsia="仿宋_GB2312" w:cs="仿宋_GB2312"/>
          <w:kern w:val="0"/>
          <w:sz w:val="32"/>
          <w:szCs w:val="32"/>
          <w:lang w:val="en-US" w:eastAsia="zh-CN"/>
        </w:rPr>
        <w:t>6章、第7章抽样的相关要求。抽取标称同一商标（或标称同一生产者）、同一型号规格的产品。</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封样要求：抽取的样品应当场封样，由抽样单位抽样人员、被抽样市场主体签字确认，每款产品的2组样品分别封</w:t>
      </w:r>
      <w:r>
        <w:rPr>
          <w:rFonts w:hint="eastAsia" w:ascii="仿宋" w:hAnsi="仿宋" w:eastAsia="仿宋" w:cs="仿宋"/>
          <w:color w:val="000000"/>
          <w:sz w:val="32"/>
          <w:szCs w:val="32"/>
          <w:lang w:eastAsia="zh-CN"/>
        </w:rPr>
        <w:t>样，抽样机构应采取防拆封措施。</w:t>
      </w:r>
      <w:r>
        <w:rPr>
          <w:rFonts w:hint="eastAsia" w:ascii="仿宋" w:hAnsi="仿宋" w:eastAsia="仿宋" w:cs="仿宋"/>
          <w:b w:val="0"/>
          <w:bCs/>
          <w:sz w:val="32"/>
          <w:szCs w:val="32"/>
        </w:rPr>
        <w:t>如果样品太小，或有局部印花可能会影响试验取样时，可适当增加检验用样品量2件</w:t>
      </w:r>
      <w:r>
        <w:rPr>
          <w:rFonts w:hint="eastAsia" w:ascii="宋体" w:hAnsi="宋体"/>
          <w:b w:val="0"/>
          <w:bCs/>
          <w:szCs w:val="21"/>
        </w:rPr>
        <w:t>。</w:t>
      </w:r>
      <w:r>
        <w:rPr>
          <w:rFonts w:hint="eastAsia" w:ascii="仿宋_GB2312" w:hAnsi="仿宋_GB2312" w:eastAsia="仿宋_GB2312" w:cs="仿宋_GB2312"/>
          <w:color w:val="000000"/>
          <w:sz w:val="32"/>
          <w:szCs w:val="32"/>
          <w:lang w:eastAsia="zh-CN"/>
        </w:rPr>
        <w:t>样品全部带回实验室</w:t>
      </w:r>
      <w:r>
        <w:rPr>
          <w:rFonts w:hint="eastAsia" w:ascii="仿宋_GB2312" w:hAnsi="仿宋_GB2312" w:eastAsia="仿宋_GB2312" w:cs="仿宋_GB2312"/>
          <w:kern w:val="0"/>
          <w:sz w:val="32"/>
          <w:szCs w:val="32"/>
        </w:rPr>
        <w:t>。</w:t>
      </w:r>
    </w:p>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、主要检验项目及不合格类别的划分指标</w:t>
      </w:r>
    </w:p>
    <w:tbl>
      <w:tblPr>
        <w:tblStyle w:val="2"/>
        <w:tblW w:w="89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6"/>
        <w:gridCol w:w="1701"/>
        <w:gridCol w:w="1843"/>
        <w:gridCol w:w="992"/>
        <w:gridCol w:w="2126"/>
        <w:gridCol w:w="851"/>
        <w:gridCol w:w="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tblHeader/>
          <w:jc w:val="center"/>
        </w:trPr>
        <w:tc>
          <w:tcPr>
            <w:tcW w:w="61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序号</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检验项目</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依据标准条款</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强制性/推荐性</w:t>
            </w:r>
          </w:p>
        </w:tc>
        <w:tc>
          <w:tcPr>
            <w:tcW w:w="21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检测方法标准</w:t>
            </w:r>
          </w:p>
        </w:tc>
        <w:tc>
          <w:tcPr>
            <w:tcW w:w="16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重要程度或不合格程度分类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tblHeade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 w:val="18"/>
                <w:szCs w:val="18"/>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 w:val="18"/>
                <w:szCs w:val="18"/>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 w:val="18"/>
                <w:szCs w:val="18"/>
              </w:rPr>
            </w:pPr>
          </w:p>
        </w:tc>
        <w:tc>
          <w:tcPr>
            <w:tcW w:w="21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sz w:val="18"/>
                <w:szCs w:val="18"/>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A类</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18"/>
                <w:szCs w:val="18"/>
              </w:rPr>
            </w:pPr>
            <w:r>
              <w:rPr>
                <w:rFonts w:hint="eastAsia" w:ascii="宋体" w:hAnsi="宋体"/>
                <w:b/>
                <w:sz w:val="18"/>
                <w:szCs w:val="18"/>
              </w:rPr>
              <w:t>B类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纤维成分及含量（％）[注1]</w:t>
            </w:r>
          </w:p>
        </w:tc>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spacing w:val="-6"/>
                <w:sz w:val="18"/>
                <w:szCs w:val="18"/>
              </w:rPr>
            </w:pPr>
            <w:r>
              <w:rPr>
                <w:rFonts w:hint="eastAsia" w:ascii="宋体" w:hAnsi="宋体"/>
                <w:spacing w:val="-6"/>
                <w:sz w:val="18"/>
                <w:szCs w:val="18"/>
              </w:rPr>
              <w:t>GB/T 29862</w:t>
            </w:r>
          </w:p>
          <w:p>
            <w:pPr>
              <w:jc w:val="center"/>
              <w:rPr>
                <w:rFonts w:ascii="宋体"/>
                <w:spacing w:val="-6"/>
                <w:sz w:val="18"/>
                <w:szCs w:val="18"/>
              </w:rPr>
            </w:pPr>
            <w:r>
              <w:rPr>
                <w:rFonts w:hint="eastAsia" w:ascii="宋体" w:hAnsi="宋体"/>
                <w:spacing w:val="-6"/>
                <w:sz w:val="18"/>
                <w:szCs w:val="18"/>
              </w:rPr>
              <w:t>明示纤维成分及含量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sz w:val="18"/>
                <w:szCs w:val="18"/>
                <w:lang w:val="fr-FR"/>
              </w:rPr>
            </w:pPr>
            <w:r>
              <w:rPr>
                <w:rFonts w:hint="eastAsia" w:ascii="宋体" w:hAnsi="宋体"/>
                <w:sz w:val="18"/>
                <w:szCs w:val="18"/>
                <w:lang w:val="fr-FR"/>
              </w:rPr>
              <w:t>FZ/T 01057</w:t>
            </w:r>
          </w:p>
          <w:p>
            <w:pPr>
              <w:jc w:val="center"/>
              <w:rPr>
                <w:rFonts w:ascii="宋体"/>
                <w:sz w:val="18"/>
                <w:szCs w:val="18"/>
              </w:rPr>
            </w:pPr>
            <w:r>
              <w:rPr>
                <w:rFonts w:hint="eastAsia" w:ascii="宋体" w:hAnsi="宋体"/>
                <w:sz w:val="18"/>
                <w:szCs w:val="18"/>
                <w:lang w:val="fr-FR"/>
              </w:rPr>
              <w:t>GB/T 2910等</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lang w:val="fr-FR"/>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2</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甲醛含量（mg/kg）</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 18401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强制性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2912.1</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lang w:val="fr-FR"/>
              </w:rPr>
            </w:pPr>
            <w:r>
              <w:rPr>
                <w:rFonts w:hint="eastAsia" w:ascii="宋体" w:hAnsi="宋体"/>
                <w:sz w:val="18"/>
                <w:szCs w:val="18"/>
                <w:lang w:val="fr-FR"/>
              </w:rPr>
              <w:t>●</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FF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pH值</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 18401</w:t>
            </w:r>
          </w:p>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强制性/</w:t>
            </w:r>
          </w:p>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7573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lang w:val="fr-FR"/>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4</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可分解致癌芳香胺染料（mg/kg）</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 18401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强制性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18"/>
                <w:szCs w:val="18"/>
              </w:rPr>
            </w:pPr>
            <w:r>
              <w:rPr>
                <w:rFonts w:hint="eastAsia" w:ascii="宋体" w:hAnsi="宋体"/>
                <w:sz w:val="18"/>
                <w:szCs w:val="18"/>
              </w:rPr>
              <w:t>GB/T 17592</w:t>
            </w:r>
          </w:p>
          <w:p>
            <w:pPr>
              <w:jc w:val="center"/>
              <w:rPr>
                <w:rFonts w:ascii="宋体"/>
                <w:sz w:val="18"/>
                <w:szCs w:val="18"/>
              </w:rPr>
            </w:pPr>
            <w:r>
              <w:rPr>
                <w:rFonts w:hint="eastAsia" w:ascii="宋体" w:hAnsi="宋体" w:cs="Sim Sun"/>
                <w:color w:val="000000"/>
                <w:kern w:val="0"/>
                <w:sz w:val="18"/>
                <w:szCs w:val="18"/>
              </w:rPr>
              <w:t>GB/T 23344</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5</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耐水色牢度（级）</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 18401</w:t>
            </w:r>
          </w:p>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强制性/</w:t>
            </w:r>
          </w:p>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5713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6</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18"/>
                <w:szCs w:val="18"/>
              </w:rPr>
            </w:pPr>
            <w:r>
              <w:rPr>
                <w:rFonts w:hint="eastAsia" w:ascii="宋体" w:hAnsi="宋体"/>
                <w:sz w:val="18"/>
                <w:szCs w:val="18"/>
              </w:rPr>
              <w:t>耐摩擦色牢度（级）</w:t>
            </w:r>
          </w:p>
          <w:p>
            <w:pPr>
              <w:jc w:val="center"/>
              <w:rPr>
                <w:rFonts w:ascii="宋体"/>
                <w:sz w:val="18"/>
                <w:szCs w:val="18"/>
              </w:rPr>
            </w:pPr>
            <w:r>
              <w:rPr>
                <w:rFonts w:hint="eastAsia" w:ascii="宋体" w:hAnsi="宋体"/>
                <w:sz w:val="18"/>
                <w:szCs w:val="18"/>
              </w:rPr>
              <w:t>[注3]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 18401</w:t>
            </w:r>
          </w:p>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强制性/</w:t>
            </w:r>
          </w:p>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3920</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tabs>
                <w:tab w:val="left" w:pos="2520"/>
              </w:tabs>
              <w:jc w:val="center"/>
              <w:rPr>
                <w:rFonts w:ascii="宋体" w:hAnsi="宋体" w:cs="Sim Sun"/>
                <w:color w:val="000000"/>
                <w:kern w:val="0"/>
                <w:sz w:val="18"/>
                <w:szCs w:val="18"/>
              </w:rPr>
            </w:pPr>
            <w:r>
              <w:rPr>
                <w:rFonts w:hint="eastAsia" w:ascii="宋体" w:hAnsi="宋体"/>
                <w:sz w:val="18"/>
                <w:szCs w:val="18"/>
              </w:rPr>
              <w:t>7</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2520"/>
              </w:tabs>
              <w:ind w:left="-107" w:leftChars="-51"/>
              <w:jc w:val="center"/>
              <w:rPr>
                <w:rFonts w:ascii="宋体" w:hAnsi="宋体" w:cs="Sim Sun"/>
                <w:color w:val="000000"/>
                <w:kern w:val="0"/>
                <w:sz w:val="18"/>
                <w:szCs w:val="18"/>
              </w:rPr>
            </w:pPr>
            <w:r>
              <w:rPr>
                <w:rFonts w:hint="eastAsia" w:ascii="宋体" w:hAnsi="宋体" w:cs="宋体"/>
                <w:kern w:val="0"/>
                <w:sz w:val="18"/>
                <w:szCs w:val="18"/>
              </w:rPr>
              <w:t xml:space="preserve"> 耐酸汗渍色牢度</w:t>
            </w:r>
          </w:p>
        </w:tc>
        <w:tc>
          <w:tcPr>
            <w:tcW w:w="1843"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Sim Sun"/>
                <w:color w:val="000000"/>
                <w:kern w:val="0"/>
                <w:sz w:val="18"/>
                <w:szCs w:val="18"/>
              </w:rPr>
              <w:t>强制性/推荐性</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3922</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Sim Sun"/>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tabs>
                <w:tab w:val="left" w:pos="2520"/>
              </w:tabs>
              <w:jc w:val="center"/>
              <w:rPr>
                <w:rFonts w:ascii="宋体" w:hAnsi="宋体"/>
                <w:sz w:val="18"/>
                <w:szCs w:val="18"/>
              </w:rPr>
            </w:pPr>
            <w:r>
              <w:rPr>
                <w:rFonts w:hint="eastAsia" w:ascii="宋体" w:hAnsi="宋体"/>
                <w:sz w:val="18"/>
                <w:szCs w:val="18"/>
              </w:rPr>
              <w:t>8</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left" w:pos="2520"/>
              </w:tabs>
              <w:ind w:firstLine="180" w:firstLineChars="100"/>
              <w:rPr>
                <w:rFonts w:ascii="宋体" w:hAnsi="宋体" w:cs="宋体"/>
                <w:kern w:val="0"/>
                <w:sz w:val="18"/>
                <w:szCs w:val="18"/>
              </w:rPr>
            </w:pPr>
            <w:r>
              <w:rPr>
                <w:rFonts w:hint="eastAsia" w:ascii="宋体" w:hAnsi="宋体" w:cs="宋体"/>
                <w:kern w:val="0"/>
                <w:sz w:val="18"/>
                <w:szCs w:val="18"/>
              </w:rPr>
              <w:t>耐碱汗渍色牢度</w:t>
            </w:r>
          </w:p>
        </w:tc>
        <w:tc>
          <w:tcPr>
            <w:tcW w:w="1843"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ind w:firstLine="360" w:firstLineChars="200"/>
              <w:rPr>
                <w:sz w:val="18"/>
                <w:szCs w:val="18"/>
              </w:rPr>
            </w:pPr>
            <w:r>
              <w:rPr>
                <w:rFonts w:hint="eastAsia" w:ascii="宋体" w:hAnsi="宋体" w:cs="Sim Sun"/>
                <w:color w:val="000000"/>
                <w:kern w:val="0"/>
                <w:sz w:val="18"/>
                <w:szCs w:val="18"/>
              </w:rPr>
              <w:t>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Sim Sun"/>
                <w:color w:val="000000"/>
                <w:kern w:val="0"/>
                <w:sz w:val="18"/>
                <w:szCs w:val="18"/>
              </w:rPr>
              <w:t>强制性/推荐性</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3922</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Sim Sun"/>
                <w:color w:val="000000"/>
                <w:kern w:val="0"/>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9</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耐皂洗色牢度（级）</w:t>
            </w:r>
          </w:p>
          <w:p>
            <w:pPr>
              <w:jc w:val="center"/>
              <w:rPr>
                <w:rFonts w:ascii="宋体"/>
                <w:sz w:val="18"/>
                <w:szCs w:val="18"/>
              </w:rPr>
            </w:pPr>
            <w:r>
              <w:rPr>
                <w:rFonts w:hint="eastAsia" w:ascii="宋体" w:hAnsi="宋体"/>
                <w:sz w:val="18"/>
                <w:szCs w:val="18"/>
              </w:rPr>
              <w:t>[注2] [注3]</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3921或GB/T 12490</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10</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耐干洗色牢度（级）[注4]</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5711</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1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11</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耐光色牢度（级）</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相应产品标准</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推荐性</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GB/T 8427</w:t>
            </w:r>
          </w:p>
          <w:p>
            <w:pPr>
              <w:jc w:val="center"/>
              <w:rPr>
                <w:rFonts w:ascii="宋体"/>
                <w:sz w:val="18"/>
                <w:szCs w:val="18"/>
              </w:rPr>
            </w:pPr>
            <w:r>
              <w:rPr>
                <w:rFonts w:hint="eastAsia" w:ascii="宋体" w:hAnsi="宋体"/>
                <w:sz w:val="18"/>
                <w:szCs w:val="18"/>
              </w:rPr>
              <w:t>相应产品标准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p>
        </w:tc>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8969" w:type="dxa"/>
            <w:gridSpan w:val="7"/>
            <w:tcBorders>
              <w:top w:val="single" w:color="auto" w:sz="4" w:space="0"/>
              <w:left w:val="single" w:color="auto" w:sz="4" w:space="0"/>
              <w:bottom w:val="single" w:color="auto" w:sz="4" w:space="0"/>
              <w:right w:val="single" w:color="auto" w:sz="4" w:space="0"/>
            </w:tcBorders>
            <w:vAlign w:val="center"/>
          </w:tcPr>
          <w:p>
            <w:pPr>
              <w:numPr>
                <w:ilvl w:val="0"/>
                <w:numId w:val="0"/>
              </w:numPr>
              <w:adjustRightInd w:val="0"/>
              <w:snapToGrid w:val="0"/>
              <w:rPr>
                <w:rFonts w:hint="eastAsia" w:ascii="宋体" w:hAnsi="宋体" w:cs="Sim Sun"/>
                <w:color w:val="000000"/>
                <w:kern w:val="0"/>
                <w:sz w:val="18"/>
                <w:szCs w:val="18"/>
              </w:rPr>
            </w:pPr>
            <w:r>
              <w:rPr>
                <w:rFonts w:hint="eastAsia" w:ascii="宋体" w:hAnsi="宋体" w:cs="Sim Sun"/>
                <w:color w:val="000000"/>
                <w:kern w:val="0"/>
                <w:sz w:val="18"/>
                <w:szCs w:val="18"/>
                <w:lang w:val="en-US" w:eastAsia="zh-CN"/>
              </w:rPr>
              <w:t>注1</w:t>
            </w:r>
            <w:r>
              <w:rPr>
                <w:rFonts w:hint="eastAsia" w:ascii="宋体" w:hAnsi="宋体"/>
                <w:sz w:val="18"/>
                <w:szCs w:val="18"/>
              </w:rPr>
              <w:t>：</w:t>
            </w:r>
            <w:r>
              <w:rPr>
                <w:rFonts w:hint="eastAsia" w:ascii="宋体" w:hAnsi="宋体" w:cs="Sim Sun"/>
                <w:color w:val="000000"/>
                <w:kern w:val="0"/>
                <w:sz w:val="18"/>
                <w:szCs w:val="18"/>
              </w:rPr>
              <w:t>考虑到样品存在的不均匀性和检验的可靠性，样品中检测出微量其他纤维（未明示）时，如果其他纤维（未明示）的含量≤1%，或样品明示含微量其他纤维而未检出时，该微量其他纤维不计入总量进行判定。</w:t>
            </w:r>
            <w:r>
              <w:rPr>
                <w:rFonts w:hint="eastAsia" w:ascii="宋体" w:hAnsi="宋体" w:cs="Sim Sun"/>
                <w:color w:val="000000"/>
                <w:kern w:val="0"/>
                <w:sz w:val="18"/>
                <w:szCs w:val="18"/>
                <w:lang w:val="en-US" w:eastAsia="zh-CN"/>
              </w:rPr>
              <w:t>吊牌或洗水标其中出现成分名称标注不一致，以正确标注名称的进行判定。</w:t>
            </w:r>
          </w:p>
          <w:p>
            <w:pPr>
              <w:rPr>
                <w:rFonts w:hint="eastAsia" w:ascii="宋体"/>
                <w:sz w:val="18"/>
                <w:szCs w:val="18"/>
              </w:rPr>
            </w:pPr>
            <w:r>
              <w:rPr>
                <w:rFonts w:hint="eastAsia" w:ascii="宋体" w:hAnsi="宋体"/>
                <w:sz w:val="18"/>
                <w:szCs w:val="18"/>
              </w:rPr>
              <w:t>注2：耐皂洗色牢度检测说明——若产品标准中未明示测试方法，含锦纶或再生纤维素纤维或桑蚕丝成分的织物，按GB/T3921方法1标准规定方法；其它纤维织物按GB/T3921方法3标准规定方法。</w:t>
            </w:r>
          </w:p>
          <w:p>
            <w:pPr>
              <w:rPr>
                <w:rFonts w:hint="eastAsia" w:ascii="宋体"/>
                <w:sz w:val="18"/>
                <w:szCs w:val="18"/>
              </w:rPr>
            </w:pPr>
            <w:r>
              <w:rPr>
                <w:rFonts w:hint="eastAsia" w:ascii="宋体" w:hAnsi="宋体"/>
                <w:sz w:val="18"/>
                <w:szCs w:val="18"/>
              </w:rPr>
              <w:t>注3：印花产品耐皂洗和耐摩擦色牢度按照印花耐皂洗和印花耐摩擦色牢度指标考核。</w:t>
            </w:r>
          </w:p>
          <w:p>
            <w:pPr>
              <w:adjustRightInd w:val="0"/>
              <w:snapToGrid w:val="0"/>
              <w:ind w:left="0" w:leftChars="0" w:firstLine="0" w:firstLineChars="0"/>
              <w:rPr>
                <w:rFonts w:ascii="宋体"/>
                <w:sz w:val="18"/>
                <w:szCs w:val="18"/>
              </w:rPr>
            </w:pPr>
            <w:r>
              <w:rPr>
                <w:rFonts w:hint="eastAsia" w:ascii="宋体" w:hAnsi="宋体"/>
                <w:sz w:val="18"/>
                <w:szCs w:val="18"/>
              </w:rPr>
              <w:t>注4：产品洗涤说明为水洗或不可干洗，耐干洗色牢度不作考核。</w:t>
            </w:r>
            <w:r>
              <w:rPr>
                <w:rFonts w:hint="eastAsia" w:ascii="宋体" w:hAnsi="宋体" w:cs="Sim Sun"/>
                <w:color w:val="000000"/>
                <w:kern w:val="0"/>
                <w:sz w:val="18"/>
                <w:szCs w:val="18"/>
                <w:lang w:val="en-US" w:eastAsia="zh-CN"/>
              </w:rPr>
              <w:t>如吊牌与洗水标维护方法不同一致，以洗水标标注的维护方法进行判定</w:t>
            </w: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8969" w:type="dxa"/>
            <w:gridSpan w:val="7"/>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sz w:val="18"/>
                <w:szCs w:val="18"/>
              </w:rPr>
            </w:pPr>
            <w:r>
              <w:rPr>
                <w:rFonts w:hint="eastAsia" w:ascii="宋体" w:hAnsi="宋体"/>
                <w:sz w:val="18"/>
                <w:szCs w:val="18"/>
              </w:rPr>
              <w:t>A类</w:t>
            </w:r>
            <w:r>
              <w:rPr>
                <w:rFonts w:hint="eastAsia" w:ascii="宋体" w:hAnsi="宋体"/>
                <w:bCs/>
                <w:sz w:val="18"/>
                <w:szCs w:val="18"/>
              </w:rPr>
              <w:t>——极重要质量项目，B类——重要质量项目</w:t>
            </w:r>
            <w:r>
              <w:rPr>
                <w:rFonts w:hint="eastAsia" w:ascii="宋体" w:hAnsi="宋体"/>
                <w:sz w:val="18"/>
                <w:szCs w:val="18"/>
              </w:rPr>
              <w:t>。</w:t>
            </w:r>
          </w:p>
        </w:tc>
      </w:tr>
    </w:tbl>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三、判定原则</w:t>
      </w:r>
    </w:p>
    <w:p>
      <w:pPr>
        <w:spacing w:line="600" w:lineRule="exact"/>
        <w:ind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依据</w:t>
      </w:r>
      <w:r>
        <w:rPr>
          <w:rFonts w:hint="eastAsia" w:ascii="楷体_GB2312" w:hAnsi="楷体_GB2312" w:eastAsia="楷体_GB2312" w:cs="楷体_GB2312"/>
          <w:bCs/>
          <w:color w:val="auto"/>
          <w:sz w:val="32"/>
          <w:szCs w:val="32"/>
        </w:rPr>
        <w:t>标准。</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凡是注日期的引用文件，仅注日期的版本适用于本细则。凡是不注日期的引用文件，其最新版本（包括所有的修改单）适用于本细则。</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 18401—2010《国家纺织产品基本安全技术规范》</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29862—2013《纺织品 纤维含量的标识》</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22700—2016《水洗整理服装》</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81006—2017《牛仔服装》</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2662—2017《棉服装》</w:t>
      </w:r>
    </w:p>
    <w:p>
      <w:pPr>
        <w:spacing w:line="600" w:lineRule="exact"/>
        <w:ind w:left="0" w:leftChars="0"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FZ/T 81008—20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《茄克衫》</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2660-2017《衬衫》</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81007—</w:t>
      </w:r>
      <w:r>
        <w:rPr>
          <w:rFonts w:hint="eastAsia" w:ascii="仿宋_GB2312" w:hAnsi="仿宋_GB2312" w:eastAsia="仿宋_GB2312" w:cs="仿宋_GB2312"/>
          <w:color w:val="000000"/>
          <w:sz w:val="32"/>
          <w:szCs w:val="32"/>
          <w:lang w:val="en-US" w:eastAsia="zh-CN"/>
        </w:rPr>
        <w:t>2022</w:t>
      </w:r>
      <w:r>
        <w:rPr>
          <w:rFonts w:hint="eastAsia" w:ascii="仿宋_GB2312" w:hAnsi="仿宋_GB2312" w:eastAsia="仿宋_GB2312" w:cs="仿宋_GB2312"/>
          <w:color w:val="000000"/>
          <w:sz w:val="32"/>
          <w:szCs w:val="32"/>
        </w:rPr>
        <w:t>《单、夹服装》</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73005—20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《低含毛混纺及仿毛针织品》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73018—20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《毛针织品》</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73020—2019《针织休闲服装》</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73026—2014《针织裙、裙套》</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73032—2017《针织牛仔服装》</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73010—2016《针织工艺衫》</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8878-20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《针织内衣》</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73024-2014《化纤针织内衣》</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22849—2014《针织T恤衫》</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73022- 2019《针织保暖内衣》</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FZ/T73016- 20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《针织保暖内衣   絮片类》</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FZ/T81001- 2016《睡衣套》</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FZ/T73043-20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《针织衬衫》</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GB/T22853-2019《针织运动服》</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FZ/T73029-2019《针织裤》</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81004—20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《连衣裙、裙套》</w:t>
      </w:r>
    </w:p>
    <w:p>
      <w:pPr>
        <w:spacing w:line="600" w:lineRule="exact"/>
        <w:ind w:left="0" w:leftChars="0"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FZ/T81010-20</w:t>
      </w: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《风衣》</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FZ/T43014-2018《丝绸围巾、披肩》</w:t>
      </w:r>
    </w:p>
    <w:p>
      <w:pPr>
        <w:spacing w:line="600" w:lineRule="exact"/>
        <w:ind w:left="0" w:lef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QB/T1615-2018</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皮革服装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只测纺织品部分</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2912.1  纺织品 甲醛的测定 第1部分：游离和水解的甲醛(水萃取法)</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7573  纺织品 水萃取液pH值的测定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17592纺织品 禁用偶氮染料的测定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23344纺织品 4-氨基偶氮苯的测定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5713纺织品 色牢度试验 耐水色牢度</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3920纺织品 色牢度试验 耐摩擦色牢度</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3921纺织品 色牢度试验 耐皂洗色牢度</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8427纺织品 色牢度试验耐人造光色牢度：氙弧</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GB/T5711 纺织品 色牢度试验耐四氯乙烯干洗色牢度</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FZ/T 01057纺织纤维鉴别试验方法</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2910定量化学分析</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GB/T 3922纺织品 色牢度试验 耐汗渍色牢度</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相关的法律法规、部门规章和规范</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以企业确认执行标准为检验依据。</w:t>
      </w:r>
    </w:p>
    <w:p>
      <w:pPr>
        <w:spacing w:line="600" w:lineRule="exact"/>
        <w:ind w:left="0" w:leftChars="0"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（二）判定原则</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经检验，检验项目全部合格，判定为抽取的样本所检项目未检出不合格；检验项目中任一项或一项以上不合格，判定为被抽查产品不合格。</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当被检样品明示的质量要求优于监督抽查实施细则中依据的标准要求时，应按被检样品明示的质量要求判定；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当被检样品明示的质量要求劣于或不包含监督抽查实施细则中依据的强制性标准要求时，应按照强制性标准要求判定；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当被检样品明示的质量要求不包含监督抽查实施细则中依据的推荐性标准要求时，该指标不参与判定，但应在检验报告中作出说明；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当被检样品未能提供有效的企业标准时，按相关国家或行业标准进行判定；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按照产品质量相关法律法规的规定判定。</w:t>
      </w:r>
    </w:p>
    <w:p>
      <w:pPr>
        <w:spacing w:line="600" w:lineRule="exact"/>
        <w:ind w:left="0" w:leftChars="0" w:firstLine="640" w:firstLineChars="200"/>
      </w:pPr>
      <w:r>
        <w:rPr>
          <w:rFonts w:hint="eastAsia" w:ascii="仿宋_GB2312" w:hAnsi="仿宋_GB2312" w:eastAsia="仿宋_GB2312" w:cs="仿宋_GB2312"/>
          <w:color w:val="000000"/>
          <w:sz w:val="32"/>
          <w:szCs w:val="32"/>
        </w:rPr>
        <w:t>检验中发现因样品失效或者其他原因致使检验无法进行的，检验人员应如实记录，并提供相关证明材料，报送组织监督抽查的市场监管部门。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c1MTdjOGEzNTM0YzQ4Y2Y1MWZmMzk3MWMyNTUifQ=="/>
  </w:docVars>
  <w:rsids>
    <w:rsidRoot w:val="4AE75D97"/>
    <w:rsid w:val="01D50CFC"/>
    <w:rsid w:val="0E3561C5"/>
    <w:rsid w:val="15776A33"/>
    <w:rsid w:val="18D83ED4"/>
    <w:rsid w:val="30BE4719"/>
    <w:rsid w:val="36B10FFE"/>
    <w:rsid w:val="4AE75D97"/>
    <w:rsid w:val="4D250504"/>
    <w:rsid w:val="52DD4BC5"/>
    <w:rsid w:val="6D2B3911"/>
    <w:rsid w:val="76AE3EF5"/>
    <w:rsid w:val="7CA5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2240</Words>
  <Characters>2797</Characters>
  <Lines>0</Lines>
  <Paragraphs>0</Paragraphs>
  <TotalTime>0</TotalTime>
  <ScaleCrop>false</ScaleCrop>
  <LinksUpToDate>false</LinksUpToDate>
  <CharactersWithSpaces>2881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2022-04-20T02:00:00Z</dcterms:created>
  <dc:creator>李文湘</dc:creator>
  <cp:lastModifiedBy>恭常思哲</cp:lastModifiedBy>
  <cp:lastPrinted>2024-03-22T02:54:32Z</cp:lastPrinted>
  <dcterms:modified xsi:type="dcterms:W3CDTF">2024-03-22T02:54:34Z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A5B1A0FF45024CC29554AC0D10502930</vt:lpwstr>
  </property>
</Properties>
</file>